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57" w:rsidRDefault="00B26157" w:rsidP="00045D4B">
      <w:pPr>
        <w:rPr>
          <w:b/>
          <w:sz w:val="56"/>
        </w:rPr>
      </w:pPr>
      <w:bookmarkStart w:id="0" w:name="_GoBack"/>
      <w:bookmarkEnd w:id="0"/>
    </w:p>
    <w:p w:rsidR="00B26157" w:rsidRDefault="00B26157" w:rsidP="00045D4B">
      <w:pPr>
        <w:rPr>
          <w:b/>
          <w:sz w:val="56"/>
        </w:rPr>
      </w:pPr>
    </w:p>
    <w:p w:rsidR="00045D4B" w:rsidRDefault="00B26157" w:rsidP="00045D4B">
      <w:pPr>
        <w:rPr>
          <w:b/>
          <w:sz w:val="56"/>
        </w:rPr>
      </w:pPr>
      <w:r>
        <w:rPr>
          <w:b/>
          <w:noProof/>
          <w:sz w:val="56"/>
          <w:lang w:eastAsia="en-GB"/>
        </w:rPr>
        <w:drawing>
          <wp:anchor distT="0" distB="0" distL="114300" distR="114300" simplePos="0" relativeHeight="251658240" behindDoc="1" locked="0" layoutInCell="1" allowOverlap="0" wp14:anchorId="2FE9BCEF" wp14:editId="3501E385">
            <wp:simplePos x="0" y="0"/>
            <wp:positionH relativeFrom="column">
              <wp:posOffset>4638675</wp:posOffset>
            </wp:positionH>
            <wp:positionV relativeFrom="paragraph">
              <wp:posOffset>-126365</wp:posOffset>
            </wp:positionV>
            <wp:extent cx="1181100" cy="836295"/>
            <wp:effectExtent l="0" t="0" r="0" b="1905"/>
            <wp:wrapTight wrapText="bothSides">
              <wp:wrapPolygon edited="0">
                <wp:start x="0" y="0"/>
                <wp:lineTo x="0" y="21157"/>
                <wp:lineTo x="21252" y="21157"/>
                <wp:lineTo x="21252" y="0"/>
                <wp:lineTo x="0" y="0"/>
              </wp:wrapPolygon>
            </wp:wrapTight>
            <wp:docPr id="3" name="Picture 3" descr="MTW logo (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W logo (March 2017)"/>
                    <pic:cNvPicPr>
                      <a:picLocks noChangeAspect="1" noChangeArrowheads="1"/>
                    </pic:cNvPicPr>
                  </pic:nvPicPr>
                  <pic:blipFill>
                    <a:blip r:embed="rId9" cstate="print">
                      <a:extLst>
                        <a:ext uri="{28A0092B-C50C-407E-A947-70E740481C1C}">
                          <a14:useLocalDpi xmlns:a14="http://schemas.microsoft.com/office/drawing/2010/main" val="0"/>
                        </a:ext>
                      </a:extLst>
                    </a:blip>
                    <a:srcRect l="43477" t="12901" r="8696" b="12901"/>
                    <a:stretch>
                      <a:fillRect/>
                    </a:stretch>
                  </pic:blipFill>
                  <pic:spPr bwMode="auto">
                    <a:xfrm>
                      <a:off x="0" y="0"/>
                      <a:ext cx="1181100"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D4B" w:rsidRDefault="00045D4B" w:rsidP="00045D4B">
      <w:pPr>
        <w:rPr>
          <w:b/>
          <w:sz w:val="56"/>
        </w:rPr>
      </w:pPr>
    </w:p>
    <w:p w:rsidR="00F20D3A" w:rsidRDefault="0056030C" w:rsidP="00F20D3A">
      <w:pPr>
        <w:jc w:val="center"/>
        <w:rPr>
          <w:b/>
          <w:sz w:val="56"/>
        </w:rPr>
      </w:pPr>
      <w:r>
        <w:rPr>
          <w:b/>
          <w:sz w:val="56"/>
        </w:rPr>
        <w:t xml:space="preserve">Kent Police research study using linked NHS </w:t>
      </w:r>
    </w:p>
    <w:p w:rsidR="00045D4B" w:rsidRDefault="00F20D3A" w:rsidP="00F20D3A">
      <w:pPr>
        <w:jc w:val="center"/>
        <w:rPr>
          <w:b/>
          <w:sz w:val="56"/>
        </w:rPr>
      </w:pPr>
      <w:r>
        <w:rPr>
          <w:b/>
          <w:sz w:val="56"/>
        </w:rPr>
        <w:t>Data Protection</w:t>
      </w:r>
      <w:r w:rsidR="00045D4B">
        <w:rPr>
          <w:b/>
          <w:sz w:val="56"/>
        </w:rPr>
        <w:t xml:space="preserve"> Impact Assessment</w:t>
      </w:r>
    </w:p>
    <w:p w:rsidR="002D4A30" w:rsidRDefault="002D4A30" w:rsidP="00045D4B">
      <w:pPr>
        <w:jc w:val="center"/>
        <w:rPr>
          <w:b/>
          <w:sz w:val="56"/>
        </w:rPr>
      </w:pPr>
    </w:p>
    <w:p w:rsidR="00045D4B" w:rsidRPr="006C566E" w:rsidRDefault="00045D4B" w:rsidP="00045D4B">
      <w:pPr>
        <w:jc w:val="center"/>
        <w:rPr>
          <w:b/>
          <w:sz w:val="5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2474"/>
        <w:gridCol w:w="1216"/>
        <w:gridCol w:w="1244"/>
        <w:gridCol w:w="1550"/>
      </w:tblGrid>
      <w:tr w:rsidR="00045D4B" w:rsidRPr="006C566E" w:rsidTr="00045D4B">
        <w:trPr>
          <w:jc w:val="center"/>
        </w:trPr>
        <w:tc>
          <w:tcPr>
            <w:tcW w:w="2768" w:type="dxa"/>
            <w:shd w:val="clear" w:color="auto" w:fill="auto"/>
          </w:tcPr>
          <w:p w:rsidR="00045D4B" w:rsidRPr="006C566E" w:rsidRDefault="00045D4B" w:rsidP="002D3416">
            <w:r>
              <w:t>Document Owner</w:t>
            </w:r>
          </w:p>
        </w:tc>
        <w:tc>
          <w:tcPr>
            <w:tcW w:w="2483" w:type="dxa"/>
            <w:shd w:val="clear" w:color="auto" w:fill="auto"/>
          </w:tcPr>
          <w:p w:rsidR="00045D4B" w:rsidRPr="006C566E" w:rsidRDefault="00045D4B" w:rsidP="002D3416">
            <w:r w:rsidRPr="006C566E">
              <w:t>Version</w:t>
            </w:r>
          </w:p>
        </w:tc>
        <w:tc>
          <w:tcPr>
            <w:tcW w:w="1218" w:type="dxa"/>
          </w:tcPr>
          <w:p w:rsidR="00045D4B" w:rsidRDefault="00045D4B" w:rsidP="002D3416">
            <w:r>
              <w:t>Status</w:t>
            </w:r>
          </w:p>
        </w:tc>
        <w:tc>
          <w:tcPr>
            <w:tcW w:w="1218" w:type="dxa"/>
          </w:tcPr>
          <w:p w:rsidR="00045D4B" w:rsidRDefault="00045D4B" w:rsidP="002D3416">
            <w:r>
              <w:t>Approved by</w:t>
            </w:r>
          </w:p>
        </w:tc>
        <w:tc>
          <w:tcPr>
            <w:tcW w:w="1555" w:type="dxa"/>
          </w:tcPr>
          <w:p w:rsidR="00045D4B" w:rsidRDefault="00045D4B" w:rsidP="002D3416">
            <w:r>
              <w:t>Date</w:t>
            </w:r>
          </w:p>
        </w:tc>
      </w:tr>
      <w:tr w:rsidR="00045D4B" w:rsidRPr="006C566E" w:rsidTr="00045D4B">
        <w:trPr>
          <w:jc w:val="center"/>
        </w:trPr>
        <w:tc>
          <w:tcPr>
            <w:tcW w:w="2768" w:type="dxa"/>
            <w:shd w:val="clear" w:color="auto" w:fill="auto"/>
          </w:tcPr>
          <w:p w:rsidR="00045D4B" w:rsidRPr="006C566E" w:rsidRDefault="002D4A30" w:rsidP="00045D4B">
            <w:r>
              <w:t>Paul Bolton</w:t>
            </w:r>
          </w:p>
        </w:tc>
        <w:tc>
          <w:tcPr>
            <w:tcW w:w="2483" w:type="dxa"/>
            <w:shd w:val="clear" w:color="auto" w:fill="auto"/>
          </w:tcPr>
          <w:p w:rsidR="00045D4B" w:rsidRPr="006C566E" w:rsidRDefault="002D4A30" w:rsidP="00045D4B">
            <w:r>
              <w:t>1.0</w:t>
            </w:r>
          </w:p>
        </w:tc>
        <w:tc>
          <w:tcPr>
            <w:tcW w:w="1218" w:type="dxa"/>
          </w:tcPr>
          <w:p w:rsidR="00045D4B" w:rsidRDefault="00045D4B" w:rsidP="002D3416"/>
        </w:tc>
        <w:tc>
          <w:tcPr>
            <w:tcW w:w="1218" w:type="dxa"/>
          </w:tcPr>
          <w:p w:rsidR="00045D4B" w:rsidRDefault="00045D4B" w:rsidP="002D3416"/>
        </w:tc>
        <w:tc>
          <w:tcPr>
            <w:tcW w:w="1555" w:type="dxa"/>
          </w:tcPr>
          <w:p w:rsidR="00045D4B" w:rsidRDefault="00045D4B" w:rsidP="002D3416"/>
        </w:tc>
      </w:tr>
      <w:tr w:rsidR="00045D4B" w:rsidRPr="006C566E" w:rsidTr="00045D4B">
        <w:trPr>
          <w:jc w:val="center"/>
        </w:trPr>
        <w:tc>
          <w:tcPr>
            <w:tcW w:w="2768" w:type="dxa"/>
            <w:shd w:val="clear" w:color="auto" w:fill="auto"/>
          </w:tcPr>
          <w:p w:rsidR="00045D4B" w:rsidRPr="006C566E" w:rsidRDefault="00045D4B" w:rsidP="002D3416"/>
        </w:tc>
        <w:tc>
          <w:tcPr>
            <w:tcW w:w="2483" w:type="dxa"/>
            <w:shd w:val="clear" w:color="auto" w:fill="auto"/>
          </w:tcPr>
          <w:p w:rsidR="00045D4B" w:rsidRPr="006C566E" w:rsidRDefault="00045D4B" w:rsidP="002D3416"/>
        </w:tc>
        <w:tc>
          <w:tcPr>
            <w:tcW w:w="1218" w:type="dxa"/>
          </w:tcPr>
          <w:p w:rsidR="00045D4B" w:rsidRDefault="00045D4B" w:rsidP="002D3416"/>
        </w:tc>
        <w:tc>
          <w:tcPr>
            <w:tcW w:w="1218" w:type="dxa"/>
          </w:tcPr>
          <w:p w:rsidR="00045D4B" w:rsidRDefault="00045D4B" w:rsidP="002D3416"/>
        </w:tc>
        <w:tc>
          <w:tcPr>
            <w:tcW w:w="1555" w:type="dxa"/>
          </w:tcPr>
          <w:p w:rsidR="00045D4B" w:rsidRDefault="00045D4B" w:rsidP="002D3416"/>
        </w:tc>
      </w:tr>
      <w:tr w:rsidR="002B4B47" w:rsidRPr="006C566E" w:rsidTr="00045D4B">
        <w:trPr>
          <w:jc w:val="center"/>
        </w:trPr>
        <w:tc>
          <w:tcPr>
            <w:tcW w:w="2768" w:type="dxa"/>
            <w:shd w:val="clear" w:color="auto" w:fill="auto"/>
          </w:tcPr>
          <w:p w:rsidR="002B4B47" w:rsidRPr="006C566E" w:rsidRDefault="002B4B47" w:rsidP="002D3416"/>
        </w:tc>
        <w:tc>
          <w:tcPr>
            <w:tcW w:w="2483" w:type="dxa"/>
            <w:shd w:val="clear" w:color="auto" w:fill="auto"/>
          </w:tcPr>
          <w:p w:rsidR="002B4B47" w:rsidRPr="006C566E" w:rsidRDefault="002B4B47" w:rsidP="002D3416"/>
        </w:tc>
        <w:tc>
          <w:tcPr>
            <w:tcW w:w="1218" w:type="dxa"/>
          </w:tcPr>
          <w:p w:rsidR="002B4B47" w:rsidRDefault="002B4B47" w:rsidP="002D3416"/>
        </w:tc>
        <w:tc>
          <w:tcPr>
            <w:tcW w:w="1218" w:type="dxa"/>
          </w:tcPr>
          <w:p w:rsidR="002B4B47" w:rsidRDefault="002B4B47" w:rsidP="002D3416"/>
        </w:tc>
        <w:tc>
          <w:tcPr>
            <w:tcW w:w="1555" w:type="dxa"/>
          </w:tcPr>
          <w:p w:rsidR="002B4B47" w:rsidRDefault="002B4B47" w:rsidP="002D3416"/>
        </w:tc>
      </w:tr>
    </w:tbl>
    <w:p w:rsidR="00045D4B" w:rsidRDefault="00045D4B" w:rsidP="00535BFF">
      <w:pPr>
        <w:pStyle w:val="Heading1"/>
      </w:pPr>
    </w:p>
    <w:p w:rsidR="00045D4B" w:rsidRDefault="00045D4B">
      <w:pPr>
        <w:rPr>
          <w:rFonts w:eastAsiaTheme="majorEastAsia" w:cstheme="majorBidi"/>
          <w:b/>
          <w:bCs/>
          <w:color w:val="365F91" w:themeColor="accent1" w:themeShade="BF"/>
          <w:sz w:val="28"/>
          <w:szCs w:val="28"/>
        </w:rPr>
      </w:pPr>
      <w:r>
        <w:br w:type="page"/>
      </w:r>
    </w:p>
    <w:p w:rsidR="00544E30" w:rsidRDefault="00FD7569" w:rsidP="00535BFF">
      <w:pPr>
        <w:pStyle w:val="Heading1"/>
      </w:pPr>
      <w:r>
        <w:lastRenderedPageBreak/>
        <w:t>Data Protection Impact Assessment</w:t>
      </w:r>
      <w:r w:rsidR="00544E30">
        <w:t xml:space="preserve"> </w:t>
      </w:r>
      <w:r>
        <w:t xml:space="preserve">(DPIA) </w:t>
      </w:r>
      <w:r w:rsidR="00544E30">
        <w:t>screening questions</w:t>
      </w:r>
    </w:p>
    <w:p w:rsidR="00535BFF" w:rsidRPr="00535BFF" w:rsidRDefault="00535BFF" w:rsidP="00535BFF">
      <w:r>
        <w:t xml:space="preserve">The following questions must be answered fully to determine the need for a </w:t>
      </w:r>
      <w:proofErr w:type="gramStart"/>
      <w:r w:rsidR="00FD7569">
        <w:t>DPIA .</w:t>
      </w:r>
      <w:proofErr w:type="gramEnd"/>
    </w:p>
    <w:tbl>
      <w:tblPr>
        <w:tblStyle w:val="TableGrid"/>
        <w:tblW w:w="0" w:type="auto"/>
        <w:tblLook w:val="04A0" w:firstRow="1" w:lastRow="0" w:firstColumn="1" w:lastColumn="0" w:noHBand="0" w:noVBand="1"/>
      </w:tblPr>
      <w:tblGrid>
        <w:gridCol w:w="9242"/>
      </w:tblGrid>
      <w:tr w:rsidR="00535BFF" w:rsidRPr="003C30A4" w:rsidTr="00535BFF">
        <w:tc>
          <w:tcPr>
            <w:tcW w:w="9242" w:type="dxa"/>
          </w:tcPr>
          <w:p w:rsidR="00535BFF" w:rsidRPr="003C30A4" w:rsidRDefault="00535BFF" w:rsidP="002D3416">
            <w:pPr>
              <w:rPr>
                <w:b/>
              </w:rPr>
            </w:pPr>
            <w:r w:rsidRPr="003C30A4">
              <w:rPr>
                <w:b/>
              </w:rPr>
              <w:t>Project Name</w:t>
            </w:r>
          </w:p>
        </w:tc>
      </w:tr>
      <w:tr w:rsidR="00535BFF" w:rsidRPr="00535BFF" w:rsidTr="00535BFF">
        <w:tc>
          <w:tcPr>
            <w:tcW w:w="9242" w:type="dxa"/>
          </w:tcPr>
          <w:p w:rsidR="00535BFF" w:rsidRPr="00535BFF" w:rsidRDefault="0056030C" w:rsidP="003C30A4">
            <w:r>
              <w:t>R</w:t>
            </w:r>
            <w:r w:rsidR="007C47CF">
              <w:t xml:space="preserve">esearch </w:t>
            </w:r>
            <w:r w:rsidR="00BC31E0">
              <w:t xml:space="preserve">study using </w:t>
            </w:r>
            <w:r w:rsidR="007C47CF">
              <w:t>linked police and NHS data to</w:t>
            </w:r>
            <w:r w:rsidR="00BC31E0">
              <w:t xml:space="preserve"> predict high harm intimate partner violence.</w:t>
            </w:r>
          </w:p>
        </w:tc>
      </w:tr>
      <w:tr w:rsidR="00535BFF" w:rsidRPr="003C30A4" w:rsidTr="00535BFF">
        <w:tc>
          <w:tcPr>
            <w:tcW w:w="9242" w:type="dxa"/>
          </w:tcPr>
          <w:p w:rsidR="00535BFF" w:rsidRPr="003C30A4" w:rsidRDefault="00535BFF" w:rsidP="002D3416">
            <w:pPr>
              <w:rPr>
                <w:b/>
              </w:rPr>
            </w:pPr>
            <w:r w:rsidRPr="003C30A4">
              <w:rPr>
                <w:b/>
              </w:rPr>
              <w:t>Project Sponsor</w:t>
            </w:r>
          </w:p>
        </w:tc>
      </w:tr>
      <w:tr w:rsidR="00535BFF" w:rsidRPr="00535BFF" w:rsidTr="00535BFF">
        <w:tc>
          <w:tcPr>
            <w:tcW w:w="9242" w:type="dxa"/>
          </w:tcPr>
          <w:p w:rsidR="00535BFF" w:rsidRPr="00535BFF" w:rsidRDefault="007C47CF" w:rsidP="002D3416">
            <w:r>
              <w:t xml:space="preserve">Kent Police </w:t>
            </w:r>
          </w:p>
        </w:tc>
      </w:tr>
      <w:tr w:rsidR="00535BFF" w:rsidRPr="003C30A4" w:rsidTr="00535BFF">
        <w:tc>
          <w:tcPr>
            <w:tcW w:w="9242" w:type="dxa"/>
          </w:tcPr>
          <w:p w:rsidR="00535BFF" w:rsidRPr="003C30A4" w:rsidRDefault="00C066A3" w:rsidP="002D3416">
            <w:pPr>
              <w:rPr>
                <w:b/>
              </w:rPr>
            </w:pPr>
            <w:r w:rsidRPr="003C30A4">
              <w:rPr>
                <w:b/>
              </w:rPr>
              <w:t>Project Manager</w:t>
            </w:r>
          </w:p>
        </w:tc>
      </w:tr>
      <w:tr w:rsidR="00535BFF" w:rsidRPr="00535BFF" w:rsidTr="00535BFF">
        <w:tc>
          <w:tcPr>
            <w:tcW w:w="9242" w:type="dxa"/>
          </w:tcPr>
          <w:p w:rsidR="00C066A3" w:rsidRPr="00535BFF" w:rsidRDefault="007C47CF" w:rsidP="002D3416">
            <w:r>
              <w:t>Richard Vickery</w:t>
            </w:r>
          </w:p>
        </w:tc>
      </w:tr>
      <w:tr w:rsidR="00535BFF" w:rsidRPr="003C30A4" w:rsidTr="00535BFF">
        <w:tc>
          <w:tcPr>
            <w:tcW w:w="9242" w:type="dxa"/>
          </w:tcPr>
          <w:p w:rsidR="00535BFF" w:rsidRPr="003C30A4" w:rsidRDefault="00535BFF" w:rsidP="00C066A3">
            <w:pPr>
              <w:pStyle w:val="ListParagraph"/>
              <w:numPr>
                <w:ilvl w:val="0"/>
                <w:numId w:val="1"/>
              </w:numPr>
              <w:ind w:left="426" w:hanging="426"/>
              <w:rPr>
                <w:b/>
              </w:rPr>
            </w:pPr>
            <w:r w:rsidRPr="003C30A4">
              <w:rPr>
                <w:b/>
              </w:rPr>
              <w:t xml:space="preserve">Will the project involve the collection of new information about individuals? </w:t>
            </w:r>
          </w:p>
        </w:tc>
      </w:tr>
      <w:tr w:rsidR="00FD7569" w:rsidRPr="00FD7569" w:rsidTr="00535BFF">
        <w:tc>
          <w:tcPr>
            <w:tcW w:w="9242" w:type="dxa"/>
          </w:tcPr>
          <w:p w:rsidR="00C066A3" w:rsidRPr="00FD7569" w:rsidRDefault="00A27DD4" w:rsidP="00C066A3">
            <w:pPr>
              <w:ind w:left="426"/>
            </w:pPr>
            <w:r w:rsidRPr="00FD7569">
              <w:t>No</w:t>
            </w:r>
          </w:p>
        </w:tc>
      </w:tr>
      <w:tr w:rsidR="00C066A3" w:rsidRPr="003C30A4" w:rsidTr="00535BFF">
        <w:tc>
          <w:tcPr>
            <w:tcW w:w="9242" w:type="dxa"/>
          </w:tcPr>
          <w:p w:rsidR="00C066A3" w:rsidRPr="003C30A4" w:rsidRDefault="00C066A3" w:rsidP="00C066A3">
            <w:pPr>
              <w:pStyle w:val="ListParagraph"/>
              <w:numPr>
                <w:ilvl w:val="0"/>
                <w:numId w:val="1"/>
              </w:numPr>
              <w:ind w:left="426" w:hanging="426"/>
              <w:rPr>
                <w:b/>
              </w:rPr>
            </w:pPr>
            <w:r w:rsidRPr="003C30A4">
              <w:rPr>
                <w:b/>
              </w:rPr>
              <w:t xml:space="preserve">Will the project compel individuals to provide information about </w:t>
            </w:r>
            <w:proofErr w:type="gramStart"/>
            <w:r w:rsidRPr="003C30A4">
              <w:rPr>
                <w:b/>
              </w:rPr>
              <w:t>themselves</w:t>
            </w:r>
            <w:proofErr w:type="gramEnd"/>
            <w:r w:rsidRPr="003C30A4">
              <w:rPr>
                <w:b/>
              </w:rPr>
              <w:t>?</w:t>
            </w:r>
          </w:p>
        </w:tc>
      </w:tr>
      <w:tr w:rsidR="00FD7569" w:rsidRPr="00FD7569" w:rsidTr="00535BFF">
        <w:tc>
          <w:tcPr>
            <w:tcW w:w="9242" w:type="dxa"/>
          </w:tcPr>
          <w:p w:rsidR="00C066A3" w:rsidRPr="00FD7569" w:rsidRDefault="00A27DD4" w:rsidP="00C066A3">
            <w:pPr>
              <w:ind w:left="426"/>
            </w:pPr>
            <w:r w:rsidRPr="00FD7569">
              <w:t>No</w:t>
            </w:r>
          </w:p>
        </w:tc>
      </w:tr>
      <w:tr w:rsidR="00535BFF" w:rsidRPr="003C30A4" w:rsidTr="00535BFF">
        <w:tc>
          <w:tcPr>
            <w:tcW w:w="9242" w:type="dxa"/>
          </w:tcPr>
          <w:p w:rsidR="00535BFF" w:rsidRPr="003C30A4" w:rsidRDefault="00535BFF" w:rsidP="00C066A3">
            <w:pPr>
              <w:pStyle w:val="ListParagraph"/>
              <w:numPr>
                <w:ilvl w:val="0"/>
                <w:numId w:val="1"/>
              </w:numPr>
              <w:ind w:left="426" w:hanging="426"/>
              <w:rPr>
                <w:b/>
              </w:rPr>
            </w:pPr>
            <w:r w:rsidRPr="003C30A4">
              <w:rPr>
                <w:b/>
              </w:rPr>
              <w:t xml:space="preserve">Will information about individuals be disclosed to organisations or people who have not previously had routine access to the information? </w:t>
            </w:r>
          </w:p>
        </w:tc>
      </w:tr>
      <w:tr w:rsidR="00FD7569" w:rsidRPr="00FD7569" w:rsidTr="00535BFF">
        <w:tc>
          <w:tcPr>
            <w:tcW w:w="9242" w:type="dxa"/>
          </w:tcPr>
          <w:p w:rsidR="00C066A3" w:rsidRPr="00FD7569" w:rsidRDefault="00A27DD4" w:rsidP="00C066A3">
            <w:pPr>
              <w:ind w:left="426"/>
            </w:pPr>
            <w:r w:rsidRPr="00FD7569">
              <w:t>Yes</w:t>
            </w:r>
          </w:p>
        </w:tc>
      </w:tr>
      <w:tr w:rsidR="00535BFF" w:rsidRPr="003C30A4" w:rsidTr="00535BFF">
        <w:tc>
          <w:tcPr>
            <w:tcW w:w="9242" w:type="dxa"/>
          </w:tcPr>
          <w:p w:rsidR="00535BFF" w:rsidRPr="003C30A4" w:rsidRDefault="00535BFF" w:rsidP="00C066A3">
            <w:pPr>
              <w:pStyle w:val="ListParagraph"/>
              <w:numPr>
                <w:ilvl w:val="0"/>
                <w:numId w:val="1"/>
              </w:numPr>
              <w:ind w:left="426" w:hanging="426"/>
              <w:rPr>
                <w:b/>
              </w:rPr>
            </w:pPr>
            <w:r w:rsidRPr="003C30A4">
              <w:rPr>
                <w:b/>
              </w:rPr>
              <w:t xml:space="preserve">Are you using information about individuals for a purpose it is not currently used for, or in a way it is not currently used? </w:t>
            </w:r>
          </w:p>
        </w:tc>
      </w:tr>
      <w:tr w:rsidR="00FD7569" w:rsidRPr="00FD7569" w:rsidTr="00535BFF">
        <w:tc>
          <w:tcPr>
            <w:tcW w:w="9242" w:type="dxa"/>
          </w:tcPr>
          <w:p w:rsidR="00AF0117" w:rsidRPr="00FD7569" w:rsidRDefault="00A27DD4" w:rsidP="00C066A3">
            <w:pPr>
              <w:ind w:left="426"/>
            </w:pPr>
            <w:r w:rsidRPr="00FD7569">
              <w:t>Yes</w:t>
            </w:r>
            <w:r w:rsidR="001C582F" w:rsidRPr="00FD7569">
              <w:t>. We are linking multiple person level datasets that are normally used for contracting and performance, into a ‘research ready’ dataset</w:t>
            </w:r>
            <w:r w:rsidR="00791846" w:rsidRPr="00FD7569">
              <w:t xml:space="preserve"> for Kent Police to conduct research </w:t>
            </w:r>
            <w:r w:rsidR="001C582F" w:rsidRPr="00FD7569">
              <w:t>which includes developing new algorithms for risk profiling</w:t>
            </w:r>
            <w:r w:rsidR="00791846" w:rsidRPr="00FD7569">
              <w:t xml:space="preserve"> Intimate Partner Violence</w:t>
            </w:r>
          </w:p>
        </w:tc>
      </w:tr>
      <w:tr w:rsidR="00535BFF" w:rsidRPr="003C30A4" w:rsidTr="00535BFF">
        <w:tc>
          <w:tcPr>
            <w:tcW w:w="9242" w:type="dxa"/>
          </w:tcPr>
          <w:p w:rsidR="00535BFF" w:rsidRPr="003C30A4" w:rsidRDefault="00535BFF" w:rsidP="00C066A3">
            <w:pPr>
              <w:pStyle w:val="ListParagraph"/>
              <w:numPr>
                <w:ilvl w:val="0"/>
                <w:numId w:val="1"/>
              </w:numPr>
              <w:ind w:left="426" w:hanging="426"/>
              <w:rPr>
                <w:b/>
              </w:rPr>
            </w:pPr>
            <w:r w:rsidRPr="003C30A4">
              <w:rPr>
                <w:b/>
              </w:rPr>
              <w:t xml:space="preserve">Does the project involve you using new technology which might be perceived as being privacy intrusive? For example, the use of biometrics or facial recognition. </w:t>
            </w:r>
          </w:p>
        </w:tc>
      </w:tr>
      <w:tr w:rsidR="00FD7569" w:rsidRPr="00FD7569" w:rsidTr="00535BFF">
        <w:tc>
          <w:tcPr>
            <w:tcW w:w="9242" w:type="dxa"/>
          </w:tcPr>
          <w:p w:rsidR="00AF0117" w:rsidRPr="00FD7569" w:rsidRDefault="00A27DD4" w:rsidP="00C066A3">
            <w:pPr>
              <w:ind w:left="426"/>
            </w:pPr>
            <w:r w:rsidRPr="00FD7569">
              <w:t>No</w:t>
            </w:r>
          </w:p>
        </w:tc>
      </w:tr>
      <w:tr w:rsidR="00535BFF" w:rsidRPr="003C30A4" w:rsidTr="00535BFF">
        <w:tc>
          <w:tcPr>
            <w:tcW w:w="9242" w:type="dxa"/>
          </w:tcPr>
          <w:p w:rsidR="00535BFF" w:rsidRPr="003C30A4" w:rsidRDefault="00535BFF" w:rsidP="00C066A3">
            <w:pPr>
              <w:pStyle w:val="ListParagraph"/>
              <w:numPr>
                <w:ilvl w:val="0"/>
                <w:numId w:val="1"/>
              </w:numPr>
              <w:ind w:left="426" w:hanging="426"/>
              <w:rPr>
                <w:b/>
              </w:rPr>
            </w:pPr>
            <w:r w:rsidRPr="003C30A4">
              <w:rPr>
                <w:b/>
              </w:rPr>
              <w:t xml:space="preserve">Will the project result in you making decisions or taking action against individuals in ways which can have a significant impact on them? </w:t>
            </w:r>
          </w:p>
        </w:tc>
      </w:tr>
      <w:tr w:rsidR="00FD7569" w:rsidRPr="00FD7569" w:rsidTr="00535BFF">
        <w:tc>
          <w:tcPr>
            <w:tcW w:w="9242" w:type="dxa"/>
          </w:tcPr>
          <w:p w:rsidR="00AF0117" w:rsidRPr="00FD7569" w:rsidRDefault="00A27DD4" w:rsidP="00C066A3">
            <w:pPr>
              <w:ind w:left="426"/>
            </w:pPr>
            <w:r w:rsidRPr="00FD7569">
              <w:t>No</w:t>
            </w:r>
          </w:p>
        </w:tc>
      </w:tr>
      <w:tr w:rsidR="00535BFF" w:rsidRPr="003C30A4" w:rsidTr="00535BFF">
        <w:tc>
          <w:tcPr>
            <w:tcW w:w="9242" w:type="dxa"/>
          </w:tcPr>
          <w:p w:rsidR="00535BFF" w:rsidRPr="003C30A4" w:rsidRDefault="00535BFF" w:rsidP="00C066A3">
            <w:pPr>
              <w:pStyle w:val="ListParagraph"/>
              <w:numPr>
                <w:ilvl w:val="0"/>
                <w:numId w:val="1"/>
              </w:numPr>
              <w:ind w:left="426" w:hanging="426"/>
              <w:rPr>
                <w:b/>
              </w:rPr>
            </w:pPr>
            <w:r w:rsidRPr="003C30A4">
              <w:rPr>
                <w:b/>
              </w:rPr>
              <w:t xml:space="preserve">Is the information about individuals of a kind particularly likely to raise privacy concerns or expectations? For example, health records, criminal records or other information that people would consider to be particularly private. </w:t>
            </w:r>
          </w:p>
        </w:tc>
      </w:tr>
      <w:tr w:rsidR="00FD7569" w:rsidRPr="00FD7569" w:rsidTr="00535BFF">
        <w:tc>
          <w:tcPr>
            <w:tcW w:w="9242" w:type="dxa"/>
          </w:tcPr>
          <w:p w:rsidR="00535BFF" w:rsidRPr="00FD7569" w:rsidRDefault="00A27DD4" w:rsidP="001A3BFA">
            <w:pPr>
              <w:ind w:left="426"/>
            </w:pPr>
            <w:r w:rsidRPr="00FD7569">
              <w:t>No</w:t>
            </w:r>
          </w:p>
        </w:tc>
      </w:tr>
      <w:tr w:rsidR="00535BFF" w:rsidRPr="003C30A4" w:rsidTr="00535BFF">
        <w:tc>
          <w:tcPr>
            <w:tcW w:w="9242" w:type="dxa"/>
          </w:tcPr>
          <w:p w:rsidR="00535BFF" w:rsidRPr="003C30A4" w:rsidRDefault="00535BFF" w:rsidP="00C066A3">
            <w:pPr>
              <w:pStyle w:val="ListParagraph"/>
              <w:numPr>
                <w:ilvl w:val="0"/>
                <w:numId w:val="1"/>
              </w:numPr>
              <w:ind w:left="426" w:hanging="426"/>
              <w:rPr>
                <w:b/>
              </w:rPr>
            </w:pPr>
            <w:r w:rsidRPr="003C30A4">
              <w:rPr>
                <w:b/>
              </w:rPr>
              <w:t>Will the project require you to contact individuals in ways which they may find intrusive?</w:t>
            </w:r>
          </w:p>
        </w:tc>
      </w:tr>
      <w:tr w:rsidR="00FD7569" w:rsidRPr="00FD7569" w:rsidTr="00535BFF">
        <w:tc>
          <w:tcPr>
            <w:tcW w:w="9242" w:type="dxa"/>
          </w:tcPr>
          <w:p w:rsidR="00535BFF" w:rsidRPr="00FD7569" w:rsidRDefault="00A27DD4" w:rsidP="00C066A3">
            <w:pPr>
              <w:ind w:left="426"/>
            </w:pPr>
            <w:r w:rsidRPr="00FD7569">
              <w:t>No</w:t>
            </w:r>
          </w:p>
        </w:tc>
      </w:tr>
    </w:tbl>
    <w:p w:rsidR="007A70F4" w:rsidRDefault="007A70F4" w:rsidP="00BC53F4">
      <w:pPr>
        <w:spacing w:line="240" w:lineRule="auto"/>
      </w:pPr>
      <w:r>
        <w:t>If answering ‘Yes’ to any of the questions it is likely a PIA is required.</w:t>
      </w:r>
    </w:p>
    <w:p w:rsidR="007A70F4" w:rsidRDefault="007A70F4" w:rsidP="00BC53F4">
      <w:pPr>
        <w:spacing w:line="240" w:lineRule="auto"/>
      </w:pPr>
    </w:p>
    <w:p w:rsidR="00FD7569" w:rsidRDefault="00FD7569">
      <w:pPr>
        <w:rPr>
          <w:rFonts w:eastAsiaTheme="majorEastAsia" w:cstheme="majorBidi"/>
          <w:b/>
          <w:bCs/>
          <w:color w:val="365F91" w:themeColor="accent1" w:themeShade="BF"/>
          <w:sz w:val="28"/>
          <w:szCs w:val="28"/>
        </w:rPr>
      </w:pPr>
      <w:r>
        <w:br w:type="page"/>
      </w:r>
    </w:p>
    <w:p w:rsidR="007006FE" w:rsidRDefault="00FD7569" w:rsidP="007006FE">
      <w:pPr>
        <w:pStyle w:val="Heading1"/>
      </w:pPr>
      <w:r>
        <w:lastRenderedPageBreak/>
        <w:t>Data Protection Impact Assessment</w:t>
      </w:r>
    </w:p>
    <w:p w:rsidR="006B267D" w:rsidRDefault="006B267D" w:rsidP="00BC53F4">
      <w:pPr>
        <w:spacing w:line="240" w:lineRule="auto"/>
      </w:pPr>
    </w:p>
    <w:tbl>
      <w:tblPr>
        <w:tblStyle w:val="TableGrid"/>
        <w:tblW w:w="0" w:type="auto"/>
        <w:tblLook w:val="04A0" w:firstRow="1" w:lastRow="0" w:firstColumn="1" w:lastColumn="0" w:noHBand="0" w:noVBand="1"/>
      </w:tblPr>
      <w:tblGrid>
        <w:gridCol w:w="9242"/>
      </w:tblGrid>
      <w:tr w:rsidR="007006FE" w:rsidTr="007006FE">
        <w:tc>
          <w:tcPr>
            <w:tcW w:w="9242" w:type="dxa"/>
          </w:tcPr>
          <w:p w:rsidR="007006FE" w:rsidRDefault="007006FE" w:rsidP="007006FE">
            <w:pPr>
              <w:pStyle w:val="Heading2"/>
              <w:outlineLvl w:val="1"/>
            </w:pPr>
            <w:r>
              <w:t xml:space="preserve">Step one: Identify the need for a </w:t>
            </w:r>
            <w:r w:rsidR="00FD7569">
              <w:t>D</w:t>
            </w:r>
            <w:r>
              <w:t xml:space="preserve">PIA </w:t>
            </w:r>
          </w:p>
          <w:p w:rsidR="007006FE" w:rsidRDefault="007006FE" w:rsidP="00BC53F4"/>
        </w:tc>
      </w:tr>
      <w:tr w:rsidR="007006FE" w:rsidTr="007006FE">
        <w:tc>
          <w:tcPr>
            <w:tcW w:w="9242" w:type="dxa"/>
          </w:tcPr>
          <w:p w:rsidR="0046359A" w:rsidRDefault="00FD7569" w:rsidP="00D639A8">
            <w:r>
              <w:t>This</w:t>
            </w:r>
            <w:r w:rsidR="00A27DD4" w:rsidRPr="00FD7569">
              <w:t xml:space="preserve"> </w:t>
            </w:r>
            <w:r w:rsidR="00D24BE3">
              <w:t xml:space="preserve">pilot </w:t>
            </w:r>
            <w:r w:rsidR="00A27DD4" w:rsidRPr="00FD7569">
              <w:t>research study aims to answer the following questions:</w:t>
            </w:r>
          </w:p>
          <w:p w:rsidR="00FD7569" w:rsidRPr="00FD7569" w:rsidRDefault="00FD7569" w:rsidP="00D639A8"/>
          <w:p w:rsidR="00A27DD4" w:rsidRPr="00FD7569" w:rsidRDefault="00A27DD4" w:rsidP="00A27DD4">
            <w:r w:rsidRPr="00FD7569">
              <w:t>•</w:t>
            </w:r>
            <w:r w:rsidRPr="00FD7569">
              <w:tab/>
              <w:t>Does combined Police/NHS Data identify pre-event variables that influence risk of high-harm intimate partner violence (IPV) across the Family Unit Cohort, pre-event?</w:t>
            </w:r>
          </w:p>
          <w:p w:rsidR="00A27DD4" w:rsidRPr="00FD7569" w:rsidRDefault="00A27DD4" w:rsidP="00A27DD4">
            <w:r w:rsidRPr="00FD7569">
              <w:t>•</w:t>
            </w:r>
            <w:r w:rsidRPr="00FD7569">
              <w:tab/>
              <w:t xml:space="preserve">Does combined Police/NHS Data identify pre-event variables that influence risk of high-harm IPV across the cohort individually, in terms of </w:t>
            </w:r>
          </w:p>
          <w:p w:rsidR="00A27DD4" w:rsidRPr="00FD7569" w:rsidRDefault="00A27DD4" w:rsidP="00A27DD4">
            <w:r w:rsidRPr="00FD7569">
              <w:t>o</w:t>
            </w:r>
            <w:r w:rsidRPr="00FD7569">
              <w:tab/>
              <w:t>Offenders</w:t>
            </w:r>
          </w:p>
          <w:p w:rsidR="00A27DD4" w:rsidRPr="00FD7569" w:rsidRDefault="00A27DD4" w:rsidP="00A27DD4">
            <w:r w:rsidRPr="00FD7569">
              <w:t>o</w:t>
            </w:r>
            <w:r w:rsidRPr="00FD7569">
              <w:tab/>
              <w:t>Victims</w:t>
            </w:r>
          </w:p>
          <w:p w:rsidR="00A27DD4" w:rsidRPr="00FD7569" w:rsidRDefault="00A27DD4" w:rsidP="00A27DD4">
            <w:r w:rsidRPr="00FD7569">
              <w:t>o</w:t>
            </w:r>
            <w:r w:rsidRPr="00FD7569">
              <w:tab/>
              <w:t>Children</w:t>
            </w:r>
          </w:p>
          <w:p w:rsidR="00A27DD4" w:rsidRPr="00FD7569" w:rsidRDefault="00A27DD4" w:rsidP="00A27DD4">
            <w:r w:rsidRPr="00FD7569">
              <w:t>•</w:t>
            </w:r>
            <w:r w:rsidRPr="00FD7569">
              <w:tab/>
              <w:t>From Partner Agency data can any assertion be made regarding levels of pre-event, non-reported, pre-cursor IPV, when compared to the Police data</w:t>
            </w:r>
          </w:p>
          <w:p w:rsidR="00A27DD4" w:rsidRPr="00FD7569" w:rsidRDefault="00A27DD4" w:rsidP="00A27DD4">
            <w:r w:rsidRPr="00FD7569">
              <w:t xml:space="preserve">This research is carried out in order to identify potential characteristics present in the lethal/potentially lethal IPV cohort </w:t>
            </w:r>
            <w:proofErr w:type="gramStart"/>
            <w:r w:rsidRPr="00FD7569">
              <w:t>which</w:t>
            </w:r>
            <w:proofErr w:type="gramEnd"/>
            <w:r w:rsidRPr="00FD7569">
              <w:t xml:space="preserve"> may contribute to an enhanced predictive model as an enabler to inform early police and partner agency intervention and prevent instances of high-harm IPV.</w:t>
            </w:r>
          </w:p>
        </w:tc>
      </w:tr>
    </w:tbl>
    <w:p w:rsidR="00544E30" w:rsidRDefault="00544E30" w:rsidP="00BC53F4">
      <w:pPr>
        <w:spacing w:line="240" w:lineRule="auto"/>
      </w:pPr>
    </w:p>
    <w:tbl>
      <w:tblPr>
        <w:tblStyle w:val="TableGrid"/>
        <w:tblW w:w="0" w:type="auto"/>
        <w:tblLook w:val="04A0" w:firstRow="1" w:lastRow="0" w:firstColumn="1" w:lastColumn="0" w:noHBand="0" w:noVBand="1"/>
      </w:tblPr>
      <w:tblGrid>
        <w:gridCol w:w="9242"/>
      </w:tblGrid>
      <w:tr w:rsidR="003726A1" w:rsidRPr="003726A1" w:rsidTr="003726A1">
        <w:tc>
          <w:tcPr>
            <w:tcW w:w="9242" w:type="dxa"/>
          </w:tcPr>
          <w:p w:rsidR="003726A1" w:rsidRPr="003726A1" w:rsidRDefault="003726A1" w:rsidP="003726A1">
            <w:pPr>
              <w:pStyle w:val="Heading2"/>
              <w:outlineLvl w:val="1"/>
            </w:pPr>
            <w:r w:rsidRPr="003726A1">
              <w:t xml:space="preserve">Step two: Describe the information flows </w:t>
            </w:r>
          </w:p>
        </w:tc>
      </w:tr>
      <w:tr w:rsidR="0065556A" w:rsidRPr="003726A1" w:rsidTr="003726A1">
        <w:tc>
          <w:tcPr>
            <w:tcW w:w="9242" w:type="dxa"/>
          </w:tcPr>
          <w:p w:rsidR="00DE465F" w:rsidRPr="00FD7569" w:rsidRDefault="00DE465F" w:rsidP="00DE465F"/>
          <w:p w:rsidR="00881335" w:rsidRPr="00FD7569" w:rsidRDefault="00881335" w:rsidP="0032127B">
            <w:pPr>
              <w:jc w:val="both"/>
            </w:pPr>
            <w:r w:rsidRPr="00FD7569">
              <w:t xml:space="preserve">Kent Police will </w:t>
            </w:r>
            <w:r w:rsidR="00795CE6" w:rsidRPr="00FD7569">
              <w:t xml:space="preserve">first </w:t>
            </w:r>
            <w:r w:rsidRPr="00FD7569">
              <w:t xml:space="preserve">select and prepare a </w:t>
            </w:r>
            <w:r w:rsidR="00B827C5" w:rsidRPr="00FD7569">
              <w:t xml:space="preserve">clear / </w:t>
            </w:r>
            <w:r w:rsidRPr="00FD7569">
              <w:t>identifiable dataset of 200 individuals known to them and convicted under the following categories:</w:t>
            </w:r>
          </w:p>
          <w:p w:rsidR="00881335" w:rsidRPr="00FD7569" w:rsidRDefault="00881335" w:rsidP="00881335">
            <w:proofErr w:type="spellStart"/>
            <w:r w:rsidRPr="00FD7569">
              <w:t>i</w:t>
            </w:r>
            <w:proofErr w:type="spellEnd"/>
            <w:r w:rsidRPr="00FD7569">
              <w:t>)</w:t>
            </w:r>
            <w:r w:rsidRPr="00FD7569">
              <w:tab/>
              <w:t>Murder</w:t>
            </w:r>
            <w:r w:rsidR="00B646FE">
              <w:t xml:space="preserve"> and attempted murder</w:t>
            </w:r>
          </w:p>
          <w:p w:rsidR="00881335" w:rsidRPr="00FD7569" w:rsidRDefault="00881335" w:rsidP="00881335">
            <w:r w:rsidRPr="00FD7569">
              <w:t>ii)</w:t>
            </w:r>
            <w:r w:rsidRPr="00FD7569">
              <w:tab/>
              <w:t>Manslaughter</w:t>
            </w:r>
          </w:p>
          <w:p w:rsidR="00881335" w:rsidRPr="00FD7569" w:rsidRDefault="00881335" w:rsidP="00881335">
            <w:r w:rsidRPr="00FD7569">
              <w:t>iii)</w:t>
            </w:r>
            <w:r w:rsidRPr="00FD7569">
              <w:tab/>
              <w:t>S18 GBH</w:t>
            </w:r>
          </w:p>
          <w:p w:rsidR="00881335" w:rsidRPr="00FD7569" w:rsidRDefault="00881335" w:rsidP="00881335"/>
          <w:p w:rsidR="00881335" w:rsidRPr="00FD7569" w:rsidRDefault="00881335" w:rsidP="00795CE6">
            <w:pPr>
              <w:jc w:val="both"/>
            </w:pPr>
            <w:r w:rsidRPr="00FD7569">
              <w:t>Information o</w:t>
            </w:r>
            <w:r w:rsidR="00795CE6" w:rsidRPr="00FD7569">
              <w:t>n</w:t>
            </w:r>
            <w:r w:rsidRPr="00FD7569">
              <w:t xml:space="preserve"> family members will </w:t>
            </w:r>
            <w:r w:rsidR="00795CE6" w:rsidRPr="00FD7569">
              <w:t>also be collected where applicable</w:t>
            </w:r>
            <w:r w:rsidR="00972CFE" w:rsidRPr="00FD7569">
              <w:t xml:space="preserve"> which will bring the dataset sample up to 600 individuals</w:t>
            </w:r>
            <w:r w:rsidR="00795CE6" w:rsidRPr="00FD7569">
              <w:t xml:space="preserve">. </w:t>
            </w:r>
            <w:r w:rsidR="00461E78" w:rsidRPr="00FD7569">
              <w:t>And where the victim is the current/ex intimate partner at the time of the commission of the offence (event).</w:t>
            </w:r>
            <w:r w:rsidR="00795CE6" w:rsidRPr="00FD7569">
              <w:t xml:space="preserve"> The initial 200-offender cohort will be derived from a period from 2012 to year-end 2017 (5 years).</w:t>
            </w:r>
          </w:p>
          <w:p w:rsidR="00DE465F" w:rsidRPr="00FD7569" w:rsidRDefault="00881335" w:rsidP="00DE465F">
            <w:r w:rsidRPr="00FD7569">
              <w:t xml:space="preserve"> </w:t>
            </w:r>
          </w:p>
          <w:p w:rsidR="007950A0" w:rsidRPr="00FD7569" w:rsidRDefault="00795CE6" w:rsidP="007950A0">
            <w:pPr>
              <w:jc w:val="both"/>
            </w:pPr>
            <w:r w:rsidRPr="00FD7569">
              <w:t xml:space="preserve">The </w:t>
            </w:r>
            <w:r w:rsidR="009450C3" w:rsidRPr="00FD7569">
              <w:t xml:space="preserve">clear / identifiable </w:t>
            </w:r>
            <w:r w:rsidRPr="00FD7569">
              <w:t xml:space="preserve">dataset will then be passed via secure file transfer into the </w:t>
            </w:r>
            <w:proofErr w:type="spellStart"/>
            <w:r w:rsidRPr="00FD7569">
              <w:t>HISBi</w:t>
            </w:r>
            <w:proofErr w:type="spellEnd"/>
            <w:r w:rsidRPr="00FD7569">
              <w:t xml:space="preserve"> (MTW) data warehouse team </w:t>
            </w:r>
            <w:r w:rsidR="00972CFE" w:rsidRPr="00FD7569">
              <w:t>for data matching</w:t>
            </w:r>
            <w:r w:rsidRPr="00FD7569">
              <w:t xml:space="preserve"> </w:t>
            </w:r>
            <w:r w:rsidR="00972CFE" w:rsidRPr="00FD7569">
              <w:t xml:space="preserve">using </w:t>
            </w:r>
            <w:r w:rsidRPr="00FD7569">
              <w:t>the Patient Master Index (derived from local NHS trust data flows)</w:t>
            </w:r>
            <w:r w:rsidR="00FD7569">
              <w:t>.</w:t>
            </w:r>
            <w:r w:rsidR="00FD7569" w:rsidRPr="00FD7569">
              <w:t xml:space="preserve"> </w:t>
            </w:r>
            <w:r w:rsidR="007950A0" w:rsidRPr="00FD7569">
              <w:t xml:space="preserve">Data </w:t>
            </w:r>
            <w:r w:rsidR="00976CCF" w:rsidRPr="00FD7569">
              <w:t>on service utilisation</w:t>
            </w:r>
            <w:r w:rsidR="00972CFE" w:rsidRPr="00FD7569">
              <w:t xml:space="preserve"> and other demographic information</w:t>
            </w:r>
            <w:r w:rsidR="00976CCF" w:rsidRPr="00FD7569">
              <w:t xml:space="preserve"> </w:t>
            </w:r>
            <w:r w:rsidR="007950A0" w:rsidRPr="00FD7569">
              <w:t>will then be extracted f</w:t>
            </w:r>
            <w:r w:rsidR="00D24BE3">
              <w:t xml:space="preserve">rom local data flows into </w:t>
            </w:r>
            <w:proofErr w:type="spellStart"/>
            <w:r w:rsidR="00D24BE3">
              <w:t>HISbi</w:t>
            </w:r>
            <w:proofErr w:type="spellEnd"/>
            <w:r w:rsidR="00D24BE3">
              <w:t>. The acute trust data will be as follows</w:t>
            </w:r>
            <w:r w:rsidR="007950A0" w:rsidRPr="00FD7569">
              <w:t>:</w:t>
            </w:r>
          </w:p>
          <w:p w:rsidR="007950A0" w:rsidRPr="00FD7569" w:rsidRDefault="007950A0" w:rsidP="007950A0">
            <w:pPr>
              <w:jc w:val="both"/>
            </w:pPr>
          </w:p>
          <w:p w:rsidR="007950A0" w:rsidRPr="00FD7569" w:rsidRDefault="007950A0" w:rsidP="007950A0">
            <w:pPr>
              <w:jc w:val="both"/>
            </w:pPr>
            <w:r w:rsidRPr="00FD7569">
              <w:t>1)</w:t>
            </w:r>
            <w:r w:rsidRPr="00FD7569">
              <w:tab/>
              <w:t>A &amp; E attendance</w:t>
            </w:r>
            <w:r w:rsidR="00976CCF" w:rsidRPr="00FD7569">
              <w:t xml:space="preserve"> and admissions</w:t>
            </w:r>
          </w:p>
          <w:p w:rsidR="007950A0" w:rsidRPr="00FD7569" w:rsidRDefault="007950A0" w:rsidP="007950A0">
            <w:pPr>
              <w:jc w:val="both"/>
            </w:pPr>
          </w:p>
          <w:p w:rsidR="007950A0" w:rsidRPr="00FD7569" w:rsidRDefault="00D24BE3" w:rsidP="00D24BE3">
            <w:pPr>
              <w:ind w:left="709" w:hanging="709"/>
              <w:jc w:val="both"/>
            </w:pPr>
            <w:proofErr w:type="spellStart"/>
            <w:r>
              <w:t>i</w:t>
            </w:r>
            <w:proofErr w:type="spellEnd"/>
            <w:r>
              <w:t>)</w:t>
            </w:r>
            <w:r>
              <w:tab/>
            </w:r>
            <w:r w:rsidR="007950A0" w:rsidRPr="00FD7569">
              <w:t>Dates of visits from 2011 onwards and at</w:t>
            </w:r>
            <w:r w:rsidR="0069290B" w:rsidRPr="00FD7569">
              <w:t xml:space="preserve"> </w:t>
            </w:r>
            <w:r w:rsidR="007950A0" w:rsidRPr="00FD7569">
              <w:t>least 12 months prior to event</w:t>
            </w:r>
            <w:r>
              <w:t xml:space="preserve"> (month and year only)</w:t>
            </w:r>
          </w:p>
          <w:p w:rsidR="007950A0" w:rsidRPr="00FD7569" w:rsidRDefault="007950A0" w:rsidP="007950A0">
            <w:pPr>
              <w:jc w:val="both"/>
            </w:pPr>
            <w:r w:rsidRPr="00FD7569">
              <w:t>ii)</w:t>
            </w:r>
            <w:r w:rsidRPr="00FD7569">
              <w:tab/>
              <w:t>Frequency within the above time period</w:t>
            </w:r>
          </w:p>
          <w:p w:rsidR="007950A0" w:rsidRPr="00FD7569" w:rsidRDefault="007950A0" w:rsidP="007950A0">
            <w:pPr>
              <w:jc w:val="both"/>
            </w:pPr>
            <w:r w:rsidRPr="00FD7569">
              <w:t>iii)</w:t>
            </w:r>
            <w:r w:rsidRPr="00FD7569">
              <w:tab/>
              <w:t>Method of attendance (Ambulance/walk-in/with family member/other)</w:t>
            </w:r>
          </w:p>
          <w:p w:rsidR="007950A0" w:rsidRPr="00FD7569" w:rsidRDefault="007950A0" w:rsidP="007950A0">
            <w:pPr>
              <w:jc w:val="both"/>
            </w:pPr>
            <w:r w:rsidRPr="00FD7569">
              <w:t>iv)</w:t>
            </w:r>
            <w:r w:rsidRPr="00FD7569">
              <w:tab/>
              <w:t>Recorded illness/injury</w:t>
            </w:r>
          </w:p>
          <w:p w:rsidR="00F4116D" w:rsidRPr="00FD7569" w:rsidRDefault="00F4116D" w:rsidP="007950A0">
            <w:pPr>
              <w:jc w:val="both"/>
            </w:pPr>
          </w:p>
          <w:p w:rsidR="00976CCF" w:rsidRPr="00FD7569" w:rsidRDefault="009450C3" w:rsidP="00976CCF">
            <w:pPr>
              <w:jc w:val="both"/>
            </w:pPr>
            <w:r w:rsidRPr="00FD7569">
              <w:t>2</w:t>
            </w:r>
            <w:r w:rsidR="00976CCF" w:rsidRPr="00FD7569">
              <w:t>)       Demographics</w:t>
            </w:r>
          </w:p>
          <w:p w:rsidR="00976CCF" w:rsidRPr="00FD7569" w:rsidRDefault="00976CCF" w:rsidP="00976CCF">
            <w:pPr>
              <w:jc w:val="both"/>
            </w:pPr>
            <w:proofErr w:type="spellStart"/>
            <w:r w:rsidRPr="00FD7569">
              <w:lastRenderedPageBreak/>
              <w:t>i</w:t>
            </w:r>
            <w:proofErr w:type="spellEnd"/>
            <w:r w:rsidRPr="00FD7569">
              <w:t>).       LSOA</w:t>
            </w:r>
          </w:p>
          <w:p w:rsidR="00976CCF" w:rsidRPr="00FD7569" w:rsidRDefault="00976CCF" w:rsidP="00976CCF">
            <w:pPr>
              <w:jc w:val="both"/>
            </w:pPr>
            <w:r w:rsidRPr="00FD7569">
              <w:t>ii).      Age</w:t>
            </w:r>
          </w:p>
          <w:p w:rsidR="00976CCF" w:rsidRDefault="00976CCF" w:rsidP="00976CCF">
            <w:pPr>
              <w:jc w:val="both"/>
            </w:pPr>
            <w:r w:rsidRPr="00FD7569">
              <w:t>iv).     IMD</w:t>
            </w:r>
            <w:r w:rsidR="00FD7569">
              <w:t xml:space="preserve"> (Deprivation)</w:t>
            </w:r>
          </w:p>
          <w:p w:rsidR="00D24BE3" w:rsidRPr="00FD7569" w:rsidRDefault="00D24BE3" w:rsidP="00976CCF">
            <w:pPr>
              <w:jc w:val="both"/>
            </w:pPr>
          </w:p>
          <w:p w:rsidR="00DE465F" w:rsidRPr="00FD7569" w:rsidRDefault="00976CCF" w:rsidP="007950A0">
            <w:pPr>
              <w:jc w:val="both"/>
            </w:pPr>
            <w:r w:rsidRPr="00FD7569">
              <w:t>The dataset once prepared and subject to data quality checks (as shown in accompanying diagram) will be passed back to Kent Police for analyses.</w:t>
            </w:r>
            <w:r w:rsidR="00B646FE">
              <w:t xml:space="preserve"> </w:t>
            </w:r>
            <w:r w:rsidR="00583F48">
              <w:rPr>
                <w:color w:val="1F497D"/>
              </w:rPr>
              <w:t>O</w:t>
            </w:r>
            <w:r w:rsidR="00B72281">
              <w:rPr>
                <w:color w:val="1F497D"/>
              </w:rPr>
              <w:t xml:space="preserve">nce the clear data has been shared with </w:t>
            </w:r>
            <w:proofErr w:type="spellStart"/>
            <w:r w:rsidR="00B72281">
              <w:rPr>
                <w:color w:val="1F497D"/>
              </w:rPr>
              <w:t>HISbi</w:t>
            </w:r>
            <w:proofErr w:type="spellEnd"/>
            <w:r w:rsidR="00B72281">
              <w:rPr>
                <w:color w:val="1F497D"/>
              </w:rPr>
              <w:t xml:space="preserve">, Kent Police will digitally dispose of both case and control records that contained </w:t>
            </w:r>
            <w:r w:rsidR="00B72281">
              <w:rPr>
                <w:b/>
                <w:bCs/>
                <w:color w:val="1F497D"/>
              </w:rPr>
              <w:t>any</w:t>
            </w:r>
            <w:r w:rsidR="00B72281">
              <w:rPr>
                <w:color w:val="1F497D"/>
              </w:rPr>
              <w:t xml:space="preserve"> identifiable data, (there are no hard copies). Names, addresses, dob, are all superfluous to the analysis. All analysis will be conducted based on the URN numbers alone </w:t>
            </w:r>
            <w:proofErr w:type="gramStart"/>
            <w:r w:rsidR="00B72281">
              <w:rPr>
                <w:color w:val="1F497D"/>
              </w:rPr>
              <w:t>( RG</w:t>
            </w:r>
            <w:proofErr w:type="gramEnd"/>
            <w:r w:rsidR="00B72281">
              <w:rPr>
                <w:color w:val="1F497D"/>
              </w:rPr>
              <w:t>/1/CG/1 etc.) The data will be exchanged on a one off sharing basis for this research and there would never be a need to refer back to the original clear data thereafter. The sequential URN’s are unique to this research and cannot be routed back to any individual or family group.</w:t>
            </w:r>
          </w:p>
          <w:p w:rsidR="0065556A" w:rsidRPr="00FD7569" w:rsidRDefault="0065556A" w:rsidP="00976CCF"/>
        </w:tc>
      </w:tr>
      <w:tr w:rsidR="00976CCF" w:rsidRPr="003726A1" w:rsidTr="003726A1">
        <w:tc>
          <w:tcPr>
            <w:tcW w:w="9242" w:type="dxa"/>
          </w:tcPr>
          <w:p w:rsidR="00976CCF" w:rsidRDefault="00976CCF" w:rsidP="00D24BE3">
            <w:pPr>
              <w:tabs>
                <w:tab w:val="left" w:pos="780"/>
              </w:tabs>
            </w:pPr>
          </w:p>
        </w:tc>
      </w:tr>
    </w:tbl>
    <w:p w:rsidR="003726A1" w:rsidRDefault="003726A1" w:rsidP="00BC53F4">
      <w:pPr>
        <w:spacing w:line="240" w:lineRule="auto"/>
      </w:pPr>
    </w:p>
    <w:tbl>
      <w:tblPr>
        <w:tblStyle w:val="TableGrid"/>
        <w:tblW w:w="0" w:type="auto"/>
        <w:tblLook w:val="04A0" w:firstRow="1" w:lastRow="0" w:firstColumn="1" w:lastColumn="0" w:noHBand="0" w:noVBand="1"/>
      </w:tblPr>
      <w:tblGrid>
        <w:gridCol w:w="9242"/>
      </w:tblGrid>
      <w:tr w:rsidR="003726A1" w:rsidRPr="003726A1" w:rsidTr="003726A1">
        <w:tc>
          <w:tcPr>
            <w:tcW w:w="9242" w:type="dxa"/>
          </w:tcPr>
          <w:p w:rsidR="003726A1" w:rsidRPr="003726A1" w:rsidRDefault="003726A1" w:rsidP="003726A1">
            <w:pPr>
              <w:pStyle w:val="Heading2"/>
              <w:outlineLvl w:val="1"/>
            </w:pPr>
            <w:r w:rsidRPr="003726A1">
              <w:t xml:space="preserve">Consultation requirements </w:t>
            </w:r>
          </w:p>
        </w:tc>
      </w:tr>
      <w:tr w:rsidR="0065556A" w:rsidRPr="003726A1" w:rsidTr="003726A1">
        <w:tc>
          <w:tcPr>
            <w:tcW w:w="9242" w:type="dxa"/>
          </w:tcPr>
          <w:p w:rsidR="00D24BE3" w:rsidRPr="00D24BE3" w:rsidRDefault="00D24BE3" w:rsidP="00E000B1">
            <w:pPr>
              <w:rPr>
                <w:b/>
              </w:rPr>
            </w:pPr>
            <w:r>
              <w:rPr>
                <w:b/>
              </w:rPr>
              <w:t>Internal</w:t>
            </w:r>
          </w:p>
          <w:p w:rsidR="00E000B1" w:rsidRPr="00FD7569" w:rsidRDefault="00D24BE3" w:rsidP="00E000B1">
            <w:r>
              <w:t xml:space="preserve">Through </w:t>
            </w:r>
            <w:r w:rsidR="00FD7569">
              <w:t>M</w:t>
            </w:r>
            <w:r w:rsidR="00306BBB">
              <w:t xml:space="preserve">aidstone and </w:t>
            </w:r>
            <w:r w:rsidR="00FD7569">
              <w:t>T</w:t>
            </w:r>
            <w:r w:rsidR="00306BBB">
              <w:t xml:space="preserve">unbridge </w:t>
            </w:r>
            <w:r w:rsidR="00FD7569">
              <w:t>W</w:t>
            </w:r>
            <w:r w:rsidR="00306BBB">
              <w:t>ells NHS Trust</w:t>
            </w:r>
            <w:r w:rsidR="00FD7569">
              <w:t xml:space="preserve"> </w:t>
            </w:r>
            <w:r w:rsidR="00306BBB">
              <w:t xml:space="preserve">(MTW) </w:t>
            </w:r>
            <w:r>
              <w:t>internal I</w:t>
            </w:r>
            <w:r w:rsidR="00306BBB">
              <w:t xml:space="preserve">nformation </w:t>
            </w:r>
            <w:r>
              <w:t>G</w:t>
            </w:r>
            <w:r w:rsidR="00306BBB">
              <w:t>overnance (IG)</w:t>
            </w:r>
            <w:r>
              <w:t xml:space="preserve"> process </w:t>
            </w:r>
            <w:r w:rsidR="00FD7569">
              <w:t xml:space="preserve">for </w:t>
            </w:r>
            <w:proofErr w:type="spellStart"/>
            <w:r w:rsidR="00FD7569">
              <w:t>HISb</w:t>
            </w:r>
            <w:r w:rsidR="007707B9" w:rsidRPr="00FD7569">
              <w:t>i</w:t>
            </w:r>
            <w:proofErr w:type="spellEnd"/>
            <w:r w:rsidR="007707B9" w:rsidRPr="00FD7569">
              <w:t xml:space="preserve"> as data processor</w:t>
            </w:r>
            <w:r>
              <w:t xml:space="preserve"> which will include the IG committee, DPO, </w:t>
            </w:r>
            <w:r w:rsidR="007707B9" w:rsidRPr="00FD7569">
              <w:t xml:space="preserve">IG lead and </w:t>
            </w:r>
            <w:proofErr w:type="spellStart"/>
            <w:r w:rsidR="00E000B1" w:rsidRPr="00FD7569">
              <w:t>Caldicott</w:t>
            </w:r>
            <w:proofErr w:type="spellEnd"/>
            <w:r w:rsidR="00E000B1" w:rsidRPr="00FD7569">
              <w:t xml:space="preserve"> Guardian </w:t>
            </w:r>
          </w:p>
          <w:p w:rsidR="00E000B1" w:rsidRPr="00FD7569" w:rsidRDefault="00E000B1" w:rsidP="00E000B1"/>
          <w:p w:rsidR="007707B9" w:rsidRPr="00FD7569" w:rsidRDefault="007707B9" w:rsidP="00E000B1">
            <w:r w:rsidRPr="00FD7569">
              <w:t>Internal for Kent Police</w:t>
            </w:r>
          </w:p>
          <w:p w:rsidR="007707B9" w:rsidRPr="00FD7569" w:rsidRDefault="007707B9" w:rsidP="00E000B1">
            <w:r w:rsidRPr="00FD7569">
              <w:t xml:space="preserve">Information Assurance Board </w:t>
            </w:r>
          </w:p>
          <w:p w:rsidR="007707B9" w:rsidRPr="00FD7569" w:rsidRDefault="007707B9" w:rsidP="00E000B1"/>
          <w:p w:rsidR="00E000B1" w:rsidRPr="00D24BE3" w:rsidRDefault="00E000B1" w:rsidP="00E000B1">
            <w:pPr>
              <w:rPr>
                <w:b/>
              </w:rPr>
            </w:pPr>
            <w:r w:rsidRPr="00D24BE3">
              <w:rPr>
                <w:b/>
              </w:rPr>
              <w:t>External</w:t>
            </w:r>
          </w:p>
          <w:p w:rsidR="00E000B1" w:rsidRPr="00FD7569" w:rsidRDefault="00E000B1" w:rsidP="00E000B1">
            <w:r w:rsidRPr="00FD7569">
              <w:t xml:space="preserve">The appropriate </w:t>
            </w:r>
            <w:r w:rsidR="00D24BE3">
              <w:t>DPO/</w:t>
            </w:r>
            <w:r w:rsidR="007707B9" w:rsidRPr="00FD7569">
              <w:t>IG leads from the respective trusts</w:t>
            </w:r>
          </w:p>
          <w:p w:rsidR="007707B9" w:rsidRPr="00FD7569" w:rsidRDefault="007707B9" w:rsidP="007707B9">
            <w:r w:rsidRPr="00FD7569">
              <w:t>D</w:t>
            </w:r>
            <w:r w:rsidR="00306BBB">
              <w:t xml:space="preserve">artford and </w:t>
            </w:r>
            <w:r w:rsidRPr="00FD7569">
              <w:t>G</w:t>
            </w:r>
            <w:r w:rsidR="00306BBB">
              <w:t xml:space="preserve">ravesham </w:t>
            </w:r>
            <w:r w:rsidRPr="00FD7569">
              <w:t xml:space="preserve"> NHS Trust</w:t>
            </w:r>
          </w:p>
          <w:p w:rsidR="007707B9" w:rsidRPr="00FD7569" w:rsidRDefault="007707B9" w:rsidP="007707B9">
            <w:r w:rsidRPr="00FD7569">
              <w:t>M</w:t>
            </w:r>
            <w:r w:rsidR="00306BBB">
              <w:t xml:space="preserve">aidstone and </w:t>
            </w:r>
            <w:r w:rsidRPr="00FD7569">
              <w:t>T</w:t>
            </w:r>
            <w:r w:rsidR="00306BBB">
              <w:t xml:space="preserve">unbridge </w:t>
            </w:r>
            <w:r w:rsidRPr="00FD7569">
              <w:t>W</w:t>
            </w:r>
            <w:r w:rsidR="00306BBB">
              <w:t>ells NHS</w:t>
            </w:r>
            <w:r w:rsidRPr="00FD7569">
              <w:t xml:space="preserve"> Trust</w:t>
            </w:r>
          </w:p>
          <w:p w:rsidR="007707B9" w:rsidRPr="00FD7569" w:rsidRDefault="007707B9" w:rsidP="007707B9">
            <w:r w:rsidRPr="00FD7569">
              <w:t>E</w:t>
            </w:r>
            <w:r w:rsidR="00306BBB">
              <w:t xml:space="preserve">ast </w:t>
            </w:r>
            <w:r w:rsidRPr="00FD7569">
              <w:t>K</w:t>
            </w:r>
            <w:r w:rsidR="00306BBB">
              <w:t xml:space="preserve">ent </w:t>
            </w:r>
            <w:r w:rsidRPr="00FD7569">
              <w:t>H</w:t>
            </w:r>
            <w:r w:rsidR="00306BBB">
              <w:t xml:space="preserve">ospitals </w:t>
            </w:r>
            <w:r w:rsidRPr="00FD7569">
              <w:t>U</w:t>
            </w:r>
            <w:r w:rsidR="00306BBB">
              <w:t xml:space="preserve">niversity NHS </w:t>
            </w:r>
            <w:r w:rsidRPr="00FD7569">
              <w:t>F</w:t>
            </w:r>
            <w:r w:rsidR="00306BBB">
              <w:t xml:space="preserve">oundation </w:t>
            </w:r>
            <w:r w:rsidRPr="00FD7569">
              <w:t>T</w:t>
            </w:r>
            <w:r w:rsidR="00306BBB">
              <w:t>rust</w:t>
            </w:r>
          </w:p>
          <w:p w:rsidR="007707B9" w:rsidRPr="00FD7569" w:rsidRDefault="007707B9" w:rsidP="007707B9">
            <w:r w:rsidRPr="00FD7569">
              <w:t>M</w:t>
            </w:r>
            <w:r w:rsidR="00306BBB">
              <w:t xml:space="preserve">edway NHS </w:t>
            </w:r>
            <w:r w:rsidRPr="00FD7569">
              <w:t>F</w:t>
            </w:r>
            <w:r w:rsidR="00306BBB">
              <w:t xml:space="preserve">oundation </w:t>
            </w:r>
            <w:r w:rsidRPr="00FD7569">
              <w:t>T</w:t>
            </w:r>
            <w:r w:rsidR="00306BBB">
              <w:t>rust</w:t>
            </w:r>
          </w:p>
          <w:p w:rsidR="007707B9" w:rsidRPr="00FD7569" w:rsidRDefault="007707B9" w:rsidP="00E000B1"/>
          <w:p w:rsidR="00E000B1" w:rsidRPr="00FD7569" w:rsidRDefault="00E000B1" w:rsidP="00E000B1"/>
          <w:p w:rsidR="00C45F26" w:rsidRPr="00FD7569" w:rsidRDefault="00D24BE3" w:rsidP="00976CCF">
            <w:pPr>
              <w:pStyle w:val="ListParagraph"/>
              <w:numPr>
                <w:ilvl w:val="0"/>
                <w:numId w:val="6"/>
              </w:numPr>
            </w:pPr>
            <w:r>
              <w:t>The d</w:t>
            </w:r>
            <w:r w:rsidR="00C45F26" w:rsidRPr="00FD7569">
              <w:t>ata matching method</w:t>
            </w:r>
            <w:r w:rsidR="009450C3" w:rsidRPr="00FD7569">
              <w:t>ology</w:t>
            </w:r>
            <w:r w:rsidR="00C45F26" w:rsidRPr="00FD7569">
              <w:t xml:space="preserve"> will be shared with </w:t>
            </w:r>
            <w:r w:rsidR="007707B9" w:rsidRPr="00FD7569">
              <w:t>them</w:t>
            </w:r>
          </w:p>
          <w:p w:rsidR="007707B9" w:rsidRPr="00FD7569" w:rsidRDefault="007707B9" w:rsidP="007707B9">
            <w:pPr>
              <w:pStyle w:val="ListParagraph"/>
            </w:pPr>
          </w:p>
          <w:p w:rsidR="00976CCF" w:rsidRPr="00FD7569" w:rsidRDefault="00976CCF" w:rsidP="00976CCF">
            <w:pPr>
              <w:pStyle w:val="ListParagraph"/>
              <w:numPr>
                <w:ilvl w:val="0"/>
                <w:numId w:val="6"/>
              </w:numPr>
            </w:pPr>
            <w:r w:rsidRPr="00FD7569">
              <w:t xml:space="preserve">The final dataset once prepared, after probabilistic matching and data linkage, will undergo a </w:t>
            </w:r>
            <w:r w:rsidR="00821D73" w:rsidRPr="00FD7569">
              <w:t xml:space="preserve">data quality check and </w:t>
            </w:r>
            <w:r w:rsidRPr="00FD7569">
              <w:t>risk assessment to check for and quantify the extent of ‘outliers’ (based on selected variables) in the dataset before sending onward to Kent Police.</w:t>
            </w:r>
          </w:p>
          <w:p w:rsidR="00821D73" w:rsidRPr="00FD7569" w:rsidRDefault="00821D73" w:rsidP="00821D73">
            <w:pPr>
              <w:pStyle w:val="ListParagraph"/>
            </w:pPr>
          </w:p>
          <w:p w:rsidR="00821D73" w:rsidRDefault="00821D73" w:rsidP="00976CCF">
            <w:pPr>
              <w:pStyle w:val="ListParagraph"/>
              <w:numPr>
                <w:ilvl w:val="0"/>
                <w:numId w:val="6"/>
              </w:numPr>
            </w:pPr>
            <w:r w:rsidRPr="00FD7569">
              <w:t xml:space="preserve">Any </w:t>
            </w:r>
            <w:r w:rsidR="00B646FE">
              <w:t xml:space="preserve">original police </w:t>
            </w:r>
            <w:r w:rsidRPr="00FD7569">
              <w:t xml:space="preserve">data retained in </w:t>
            </w:r>
            <w:proofErr w:type="spellStart"/>
            <w:r w:rsidRPr="00FD7569">
              <w:t>HISBi</w:t>
            </w:r>
            <w:proofErr w:type="spellEnd"/>
            <w:r w:rsidRPr="00FD7569">
              <w:t xml:space="preserve"> will be ‘</w:t>
            </w:r>
            <w:proofErr w:type="spellStart"/>
            <w:r w:rsidRPr="00FD7569">
              <w:t>pseudonymised</w:t>
            </w:r>
            <w:proofErr w:type="spellEnd"/>
            <w:r w:rsidRPr="00FD7569">
              <w:t xml:space="preserve"> at rest’ to minimise risk of </w:t>
            </w:r>
            <w:proofErr w:type="spellStart"/>
            <w:r w:rsidRPr="00FD7569">
              <w:t>reidentific</w:t>
            </w:r>
            <w:r w:rsidR="00D24BE3">
              <w:t>ation</w:t>
            </w:r>
            <w:proofErr w:type="spellEnd"/>
            <w:r w:rsidR="00D24BE3">
              <w:t xml:space="preserve"> / unauthorised disclosure once the anonymised dataset has been passed to the police</w:t>
            </w:r>
          </w:p>
          <w:p w:rsidR="00D24BE3" w:rsidRDefault="00D24BE3" w:rsidP="00D24BE3">
            <w:pPr>
              <w:ind w:left="360"/>
            </w:pPr>
          </w:p>
          <w:p w:rsidR="00D24BE3" w:rsidRPr="00D24BE3" w:rsidRDefault="00D24BE3" w:rsidP="00D24BE3">
            <w:pPr>
              <w:rPr>
                <w:b/>
              </w:rPr>
            </w:pPr>
            <w:r w:rsidRPr="00D24BE3">
              <w:rPr>
                <w:b/>
              </w:rPr>
              <w:t>Other</w:t>
            </w:r>
          </w:p>
          <w:p w:rsidR="00DE465F" w:rsidRPr="00FD7569" w:rsidRDefault="00D24BE3" w:rsidP="002D3416">
            <w:r>
              <w:t>Because of the nature of the pilot, there is no requirement for public consultation</w:t>
            </w:r>
          </w:p>
          <w:p w:rsidR="00DE465F" w:rsidRPr="00FD7569" w:rsidRDefault="00DE465F" w:rsidP="002D3416"/>
        </w:tc>
      </w:tr>
    </w:tbl>
    <w:p w:rsidR="003726A1" w:rsidRDefault="003726A1" w:rsidP="00BC53F4">
      <w:pPr>
        <w:spacing w:line="240" w:lineRule="auto"/>
      </w:pPr>
    </w:p>
    <w:tbl>
      <w:tblPr>
        <w:tblStyle w:val="TableGrid"/>
        <w:tblW w:w="0" w:type="auto"/>
        <w:tblLook w:val="04A0" w:firstRow="1" w:lastRow="0" w:firstColumn="1" w:lastColumn="0" w:noHBand="0" w:noVBand="1"/>
      </w:tblPr>
      <w:tblGrid>
        <w:gridCol w:w="1903"/>
        <w:gridCol w:w="2585"/>
        <w:gridCol w:w="2297"/>
        <w:gridCol w:w="2457"/>
      </w:tblGrid>
      <w:tr w:rsidR="001A3BFA" w:rsidRPr="00D87AF6" w:rsidTr="003C30A4">
        <w:tc>
          <w:tcPr>
            <w:tcW w:w="9242" w:type="dxa"/>
            <w:gridSpan w:val="4"/>
          </w:tcPr>
          <w:p w:rsidR="001A3BFA" w:rsidRPr="00D87AF6" w:rsidRDefault="001A3BFA" w:rsidP="002D3416">
            <w:pPr>
              <w:pStyle w:val="Heading2"/>
              <w:outlineLvl w:val="1"/>
            </w:pPr>
            <w:r w:rsidRPr="00D87AF6">
              <w:lastRenderedPageBreak/>
              <w:t xml:space="preserve">Step three: identify the privacy and related risks </w:t>
            </w:r>
          </w:p>
        </w:tc>
      </w:tr>
      <w:tr w:rsidR="001A3BFA" w:rsidRPr="00D87AF6" w:rsidTr="003C30A4">
        <w:tc>
          <w:tcPr>
            <w:tcW w:w="9242" w:type="dxa"/>
            <w:gridSpan w:val="4"/>
          </w:tcPr>
          <w:p w:rsidR="001A3BFA" w:rsidRDefault="001A3BFA" w:rsidP="002D3416">
            <w:pPr>
              <w:pStyle w:val="ListParagraph"/>
              <w:numPr>
                <w:ilvl w:val="0"/>
                <w:numId w:val="3"/>
              </w:numPr>
              <w:ind w:left="284" w:hanging="284"/>
            </w:pPr>
            <w:r w:rsidRPr="00D87AF6">
              <w:t xml:space="preserve">Identify the key privacy risks and the associated compliance and corporate risks. Larger-scale </w:t>
            </w:r>
            <w:r w:rsidR="00FD7569">
              <w:t>D</w:t>
            </w:r>
            <w:r w:rsidRPr="00D87AF6">
              <w:t xml:space="preserve">PIAs might record this information </w:t>
            </w:r>
          </w:p>
          <w:p w:rsidR="001A3BFA" w:rsidRPr="00D87AF6" w:rsidRDefault="001A3BFA" w:rsidP="001A53CF">
            <w:pPr>
              <w:pStyle w:val="ListParagraph"/>
              <w:ind w:left="284"/>
            </w:pPr>
          </w:p>
        </w:tc>
      </w:tr>
      <w:tr w:rsidR="001A3BFA" w:rsidTr="003C30A4">
        <w:tc>
          <w:tcPr>
            <w:tcW w:w="1903" w:type="dxa"/>
            <w:tcBorders>
              <w:bottom w:val="single" w:sz="4" w:space="0" w:color="auto"/>
            </w:tcBorders>
            <w:shd w:val="clear" w:color="auto" w:fill="EEECE1" w:themeFill="background2"/>
          </w:tcPr>
          <w:p w:rsidR="001A3BFA" w:rsidRDefault="001A3BFA" w:rsidP="002D3416">
            <w:r>
              <w:t>Privacy issue</w:t>
            </w:r>
          </w:p>
        </w:tc>
        <w:tc>
          <w:tcPr>
            <w:tcW w:w="2585" w:type="dxa"/>
            <w:tcBorders>
              <w:bottom w:val="single" w:sz="4" w:space="0" w:color="auto"/>
            </w:tcBorders>
            <w:shd w:val="clear" w:color="auto" w:fill="EEECE1" w:themeFill="background2"/>
          </w:tcPr>
          <w:p w:rsidR="001A3BFA" w:rsidRDefault="001A3BFA" w:rsidP="002D3416">
            <w:r>
              <w:t>Risk to individuals</w:t>
            </w:r>
          </w:p>
        </w:tc>
        <w:tc>
          <w:tcPr>
            <w:tcW w:w="2297" w:type="dxa"/>
            <w:tcBorders>
              <w:bottom w:val="single" w:sz="4" w:space="0" w:color="auto"/>
            </w:tcBorders>
            <w:shd w:val="clear" w:color="auto" w:fill="EEECE1" w:themeFill="background2"/>
          </w:tcPr>
          <w:p w:rsidR="001A3BFA" w:rsidRDefault="001A3BFA" w:rsidP="002D3416">
            <w:r>
              <w:t>Compliance risk</w:t>
            </w:r>
          </w:p>
        </w:tc>
        <w:tc>
          <w:tcPr>
            <w:tcW w:w="2457" w:type="dxa"/>
            <w:tcBorders>
              <w:bottom w:val="single" w:sz="4" w:space="0" w:color="auto"/>
            </w:tcBorders>
            <w:shd w:val="clear" w:color="auto" w:fill="EEECE1" w:themeFill="background2"/>
          </w:tcPr>
          <w:p w:rsidR="001A3BFA" w:rsidRDefault="001A3BFA" w:rsidP="002D3416">
            <w:r>
              <w:t>Associated organisation / corporate risk</w:t>
            </w:r>
          </w:p>
        </w:tc>
      </w:tr>
      <w:tr w:rsidR="00D24BE3" w:rsidRPr="00D24BE3" w:rsidTr="00C67807">
        <w:trPr>
          <w:cantSplit/>
        </w:trPr>
        <w:tc>
          <w:tcPr>
            <w:tcW w:w="1903" w:type="dxa"/>
            <w:tcBorders>
              <w:bottom w:val="nil"/>
            </w:tcBorders>
          </w:tcPr>
          <w:p w:rsidR="007707B9" w:rsidRPr="00D24BE3" w:rsidRDefault="007707B9" w:rsidP="00116230">
            <w:pPr>
              <w:rPr>
                <w:b/>
                <w:i/>
              </w:rPr>
            </w:pPr>
            <w:r w:rsidRPr="00D24BE3">
              <w:rPr>
                <w:b/>
                <w:i/>
              </w:rPr>
              <w:t>Information security</w:t>
            </w:r>
          </w:p>
          <w:p w:rsidR="007707B9" w:rsidRPr="00D24BE3" w:rsidRDefault="007707B9" w:rsidP="00116230">
            <w:pPr>
              <w:rPr>
                <w:b/>
                <w:i/>
              </w:rPr>
            </w:pPr>
          </w:p>
        </w:tc>
        <w:tc>
          <w:tcPr>
            <w:tcW w:w="2585" w:type="dxa"/>
            <w:tcBorders>
              <w:bottom w:val="nil"/>
            </w:tcBorders>
          </w:tcPr>
          <w:p w:rsidR="007707B9" w:rsidRPr="00D24BE3" w:rsidRDefault="007707B9" w:rsidP="00116230"/>
        </w:tc>
        <w:tc>
          <w:tcPr>
            <w:tcW w:w="2297" w:type="dxa"/>
            <w:tcBorders>
              <w:bottom w:val="nil"/>
            </w:tcBorders>
          </w:tcPr>
          <w:p w:rsidR="007707B9" w:rsidRPr="00D24BE3" w:rsidRDefault="007707B9" w:rsidP="00116230"/>
        </w:tc>
        <w:tc>
          <w:tcPr>
            <w:tcW w:w="2457" w:type="dxa"/>
            <w:tcBorders>
              <w:bottom w:val="nil"/>
            </w:tcBorders>
          </w:tcPr>
          <w:p w:rsidR="007707B9" w:rsidRPr="00D24BE3" w:rsidRDefault="007707B9" w:rsidP="00116230"/>
        </w:tc>
      </w:tr>
      <w:tr w:rsidR="00D24BE3" w:rsidRPr="00D24BE3" w:rsidTr="00116230">
        <w:tc>
          <w:tcPr>
            <w:tcW w:w="1903" w:type="dxa"/>
            <w:tcBorders>
              <w:top w:val="nil"/>
              <w:bottom w:val="single" w:sz="4" w:space="0" w:color="auto"/>
            </w:tcBorders>
          </w:tcPr>
          <w:p w:rsidR="007707B9" w:rsidRPr="00D24BE3" w:rsidRDefault="007707B9" w:rsidP="00116230">
            <w:r w:rsidRPr="00D24BE3">
              <w:t>Unauthorised access to the data</w:t>
            </w:r>
          </w:p>
          <w:p w:rsidR="007707B9" w:rsidRPr="00D24BE3" w:rsidRDefault="007707B9" w:rsidP="00116230"/>
          <w:p w:rsidR="007707B9" w:rsidRPr="00D24BE3" w:rsidRDefault="007707B9" w:rsidP="00116230">
            <w:r w:rsidRPr="00D24BE3">
              <w:t>Loss of data</w:t>
            </w:r>
          </w:p>
          <w:p w:rsidR="007707B9" w:rsidRPr="00D24BE3" w:rsidRDefault="007707B9" w:rsidP="00116230"/>
          <w:p w:rsidR="007707B9" w:rsidRPr="00D24BE3" w:rsidRDefault="007707B9" w:rsidP="00116230">
            <w:r w:rsidRPr="00D24BE3">
              <w:t>Amendment of data</w:t>
            </w:r>
          </w:p>
        </w:tc>
        <w:tc>
          <w:tcPr>
            <w:tcW w:w="2585" w:type="dxa"/>
            <w:tcBorders>
              <w:top w:val="nil"/>
              <w:bottom w:val="single" w:sz="4" w:space="0" w:color="auto"/>
            </w:tcBorders>
          </w:tcPr>
          <w:p w:rsidR="007707B9" w:rsidRPr="00D24BE3" w:rsidRDefault="007707B9" w:rsidP="00116230">
            <w:r w:rsidRPr="00D24BE3">
              <w:t>Inadequate disclosure controls increase the likelihood of information being shared inappropriately.</w:t>
            </w:r>
          </w:p>
          <w:p w:rsidR="007707B9" w:rsidRPr="00D24BE3" w:rsidRDefault="007707B9" w:rsidP="00116230"/>
          <w:p w:rsidR="007707B9" w:rsidRPr="00D24BE3" w:rsidRDefault="007707B9" w:rsidP="00116230">
            <w:r w:rsidRPr="00D24BE3">
              <w:t>Information which is collected and stored unnecessarily, or is not properly managed so that duplicate records are created, presents a greater security risk.</w:t>
            </w:r>
          </w:p>
          <w:p w:rsidR="007707B9" w:rsidRPr="00D24BE3" w:rsidRDefault="007707B9" w:rsidP="00116230"/>
        </w:tc>
        <w:tc>
          <w:tcPr>
            <w:tcW w:w="2297" w:type="dxa"/>
            <w:tcBorders>
              <w:top w:val="nil"/>
              <w:bottom w:val="single" w:sz="4" w:space="0" w:color="auto"/>
            </w:tcBorders>
          </w:tcPr>
          <w:p w:rsidR="007707B9" w:rsidRPr="00D24BE3" w:rsidRDefault="007707B9" w:rsidP="00116230">
            <w:r w:rsidRPr="00D24BE3">
              <w:t>Non-compliance with the G</w:t>
            </w:r>
            <w:r w:rsidR="00306BBB">
              <w:t xml:space="preserve">eneral </w:t>
            </w:r>
            <w:r w:rsidRPr="00D24BE3">
              <w:t>D</w:t>
            </w:r>
            <w:r w:rsidR="00306BBB">
              <w:t xml:space="preserve">ata </w:t>
            </w:r>
            <w:r w:rsidRPr="00D24BE3">
              <w:t>P</w:t>
            </w:r>
            <w:r w:rsidR="00306BBB">
              <w:t xml:space="preserve">rotection </w:t>
            </w:r>
            <w:r w:rsidRPr="00D24BE3">
              <w:t>R</w:t>
            </w:r>
            <w:r w:rsidR="00306BBB">
              <w:t>egulation (GDPR)</w:t>
            </w:r>
          </w:p>
          <w:p w:rsidR="007707B9" w:rsidRPr="00D24BE3" w:rsidRDefault="007707B9" w:rsidP="00116230"/>
          <w:p w:rsidR="007707B9" w:rsidRPr="00D24BE3" w:rsidRDefault="007707B9" w:rsidP="00306BBB">
            <w:r w:rsidRPr="00D24BE3">
              <w:t xml:space="preserve">Negative impact on NHS </w:t>
            </w:r>
            <w:r w:rsidR="00306BBB">
              <w:t>Data Security and Protection</w:t>
            </w:r>
            <w:r w:rsidR="00306BBB" w:rsidRPr="00D24BE3">
              <w:t xml:space="preserve"> </w:t>
            </w:r>
            <w:r w:rsidRPr="00D24BE3">
              <w:t xml:space="preserve">Toolkit </w:t>
            </w:r>
          </w:p>
        </w:tc>
        <w:tc>
          <w:tcPr>
            <w:tcW w:w="2457" w:type="dxa"/>
            <w:tcBorders>
              <w:top w:val="nil"/>
              <w:bottom w:val="single" w:sz="4" w:space="0" w:color="auto"/>
            </w:tcBorders>
          </w:tcPr>
          <w:p w:rsidR="007707B9" w:rsidRPr="00D24BE3" w:rsidRDefault="007707B9" w:rsidP="00116230">
            <w:r w:rsidRPr="00D24BE3">
              <w:t>Non-compliance with the GDPR or other legislation can lead to sanctions, fines and reputational damage.</w:t>
            </w:r>
          </w:p>
          <w:p w:rsidR="007707B9" w:rsidRPr="00D24BE3" w:rsidRDefault="007707B9" w:rsidP="00116230"/>
          <w:p w:rsidR="007707B9" w:rsidRPr="00D24BE3" w:rsidRDefault="007707B9" w:rsidP="00116230">
            <w:r w:rsidRPr="00D24BE3">
              <w:t xml:space="preserve">Inability to meet statutory requirements </w:t>
            </w:r>
            <w:proofErr w:type="spellStart"/>
            <w:r w:rsidRPr="00D24BE3">
              <w:t>eg</w:t>
            </w:r>
            <w:proofErr w:type="spellEnd"/>
            <w:r w:rsidRPr="00D24BE3">
              <w:t xml:space="preserve"> sharing data with NHS Number for direct care purposes</w:t>
            </w:r>
          </w:p>
        </w:tc>
      </w:tr>
      <w:tr w:rsidR="00D24BE3" w:rsidRPr="00D24BE3" w:rsidTr="00116230">
        <w:tc>
          <w:tcPr>
            <w:tcW w:w="1903" w:type="dxa"/>
            <w:tcBorders>
              <w:bottom w:val="nil"/>
            </w:tcBorders>
          </w:tcPr>
          <w:p w:rsidR="007707B9" w:rsidRPr="00D24BE3" w:rsidRDefault="007707B9" w:rsidP="00116230">
            <w:pPr>
              <w:rPr>
                <w:b/>
                <w:i/>
              </w:rPr>
            </w:pPr>
            <w:r w:rsidRPr="00D24BE3">
              <w:rPr>
                <w:b/>
                <w:i/>
              </w:rPr>
              <w:t>Inappropriate disclosure</w:t>
            </w:r>
          </w:p>
          <w:p w:rsidR="007707B9" w:rsidRPr="00D24BE3" w:rsidRDefault="007707B9" w:rsidP="00116230">
            <w:pPr>
              <w:rPr>
                <w:b/>
                <w:i/>
              </w:rPr>
            </w:pPr>
          </w:p>
        </w:tc>
        <w:tc>
          <w:tcPr>
            <w:tcW w:w="2585" w:type="dxa"/>
            <w:tcBorders>
              <w:bottom w:val="nil"/>
            </w:tcBorders>
          </w:tcPr>
          <w:p w:rsidR="007707B9" w:rsidRPr="00D24BE3" w:rsidRDefault="007707B9" w:rsidP="00116230"/>
        </w:tc>
        <w:tc>
          <w:tcPr>
            <w:tcW w:w="2297" w:type="dxa"/>
            <w:tcBorders>
              <w:bottom w:val="nil"/>
            </w:tcBorders>
          </w:tcPr>
          <w:p w:rsidR="007707B9" w:rsidRPr="00D24BE3" w:rsidRDefault="007707B9" w:rsidP="00116230"/>
        </w:tc>
        <w:tc>
          <w:tcPr>
            <w:tcW w:w="2457" w:type="dxa"/>
            <w:tcBorders>
              <w:bottom w:val="nil"/>
            </w:tcBorders>
          </w:tcPr>
          <w:p w:rsidR="007707B9" w:rsidRPr="00D24BE3" w:rsidRDefault="007707B9" w:rsidP="00116230"/>
        </w:tc>
      </w:tr>
      <w:tr w:rsidR="00D24BE3" w:rsidRPr="00D24BE3" w:rsidTr="00116230">
        <w:tc>
          <w:tcPr>
            <w:tcW w:w="1903" w:type="dxa"/>
            <w:tcBorders>
              <w:top w:val="nil"/>
              <w:bottom w:val="nil"/>
            </w:tcBorders>
          </w:tcPr>
          <w:p w:rsidR="007707B9" w:rsidRPr="00D24BE3" w:rsidRDefault="007707B9" w:rsidP="00116230">
            <w:r w:rsidRPr="00D24BE3">
              <w:t>Unexpected sharing of data undermines the legitimacy of the research study</w:t>
            </w:r>
          </w:p>
        </w:tc>
        <w:tc>
          <w:tcPr>
            <w:tcW w:w="2585" w:type="dxa"/>
            <w:tcBorders>
              <w:top w:val="nil"/>
              <w:bottom w:val="nil"/>
            </w:tcBorders>
          </w:tcPr>
          <w:p w:rsidR="007707B9" w:rsidRPr="00D24BE3" w:rsidRDefault="007707B9" w:rsidP="00116230">
            <w:proofErr w:type="spellStart"/>
            <w:r w:rsidRPr="00D24BE3">
              <w:t>HIsbi</w:t>
            </w:r>
            <w:proofErr w:type="spellEnd"/>
            <w:r w:rsidRPr="00D24BE3">
              <w:t xml:space="preserve"> (MTW) and Kent Police may know more about an individual than expected</w:t>
            </w:r>
          </w:p>
        </w:tc>
        <w:tc>
          <w:tcPr>
            <w:tcW w:w="2297" w:type="dxa"/>
            <w:tcBorders>
              <w:top w:val="nil"/>
              <w:bottom w:val="nil"/>
            </w:tcBorders>
          </w:tcPr>
          <w:p w:rsidR="007707B9" w:rsidRPr="00D24BE3" w:rsidRDefault="007707B9" w:rsidP="00116230">
            <w:r w:rsidRPr="00D24BE3">
              <w:t>Non-compliance with the GDPR</w:t>
            </w:r>
          </w:p>
          <w:p w:rsidR="007707B9" w:rsidRPr="00D24BE3" w:rsidRDefault="007707B9" w:rsidP="00116230"/>
          <w:p w:rsidR="007707B9" w:rsidRPr="00D24BE3" w:rsidRDefault="007707B9" w:rsidP="00116230">
            <w:r w:rsidRPr="00D24BE3">
              <w:t>Non-compliance with duty of confidentiality</w:t>
            </w:r>
          </w:p>
          <w:p w:rsidR="007707B9" w:rsidRPr="00D24BE3" w:rsidRDefault="007707B9" w:rsidP="00116230"/>
          <w:p w:rsidR="007707B9" w:rsidRPr="00D24BE3" w:rsidRDefault="007707B9" w:rsidP="00116230">
            <w:r w:rsidRPr="00D24BE3">
              <w:t>Non-compliance with human rights legislation.</w:t>
            </w:r>
          </w:p>
        </w:tc>
        <w:tc>
          <w:tcPr>
            <w:tcW w:w="2457" w:type="dxa"/>
            <w:tcBorders>
              <w:top w:val="nil"/>
              <w:bottom w:val="nil"/>
            </w:tcBorders>
          </w:tcPr>
          <w:p w:rsidR="007707B9" w:rsidRPr="00D24BE3" w:rsidRDefault="007707B9" w:rsidP="00116230">
            <w:r w:rsidRPr="00D24BE3">
              <w:t>Non-compliance with the GDPR or other legislation can lead to sanctions, fines and reputational damage.</w:t>
            </w:r>
          </w:p>
        </w:tc>
      </w:tr>
      <w:tr w:rsidR="00D24BE3" w:rsidRPr="00D24BE3" w:rsidTr="00116230">
        <w:tc>
          <w:tcPr>
            <w:tcW w:w="1903" w:type="dxa"/>
            <w:tcBorders>
              <w:top w:val="nil"/>
              <w:bottom w:val="nil"/>
            </w:tcBorders>
          </w:tcPr>
          <w:p w:rsidR="007707B9" w:rsidRPr="00D24BE3" w:rsidRDefault="007707B9" w:rsidP="00116230"/>
        </w:tc>
        <w:tc>
          <w:tcPr>
            <w:tcW w:w="2585" w:type="dxa"/>
            <w:tcBorders>
              <w:top w:val="nil"/>
              <w:bottom w:val="nil"/>
            </w:tcBorders>
          </w:tcPr>
          <w:p w:rsidR="007707B9" w:rsidRPr="00D24BE3" w:rsidRDefault="007707B9" w:rsidP="00116230">
            <w:r w:rsidRPr="00D24BE3">
              <w:t xml:space="preserve">Lack of formalised governance </w:t>
            </w:r>
            <w:proofErr w:type="spellStart"/>
            <w:r w:rsidRPr="00D24BE3">
              <w:t>eg</w:t>
            </w:r>
            <w:proofErr w:type="spellEnd"/>
            <w:r w:rsidRPr="00D24BE3">
              <w:t xml:space="preserve"> data sharing agreement</w:t>
            </w:r>
          </w:p>
        </w:tc>
        <w:tc>
          <w:tcPr>
            <w:tcW w:w="2297" w:type="dxa"/>
            <w:tcBorders>
              <w:top w:val="nil"/>
              <w:bottom w:val="nil"/>
            </w:tcBorders>
          </w:tcPr>
          <w:p w:rsidR="007707B9" w:rsidRPr="00D24BE3" w:rsidRDefault="007707B9" w:rsidP="00116230"/>
        </w:tc>
        <w:tc>
          <w:tcPr>
            <w:tcW w:w="2457" w:type="dxa"/>
            <w:tcBorders>
              <w:top w:val="nil"/>
              <w:bottom w:val="nil"/>
            </w:tcBorders>
          </w:tcPr>
          <w:p w:rsidR="007707B9" w:rsidRPr="00D24BE3" w:rsidRDefault="007707B9" w:rsidP="00116230"/>
        </w:tc>
      </w:tr>
      <w:tr w:rsidR="007707B9" w:rsidTr="00116230">
        <w:tc>
          <w:tcPr>
            <w:tcW w:w="1903" w:type="dxa"/>
            <w:tcBorders>
              <w:top w:val="nil"/>
            </w:tcBorders>
          </w:tcPr>
          <w:p w:rsidR="007707B9" w:rsidRPr="002B181D" w:rsidRDefault="007707B9" w:rsidP="00116230">
            <w:pPr>
              <w:rPr>
                <w:color w:val="FF0000"/>
              </w:rPr>
            </w:pPr>
          </w:p>
        </w:tc>
        <w:tc>
          <w:tcPr>
            <w:tcW w:w="2585" w:type="dxa"/>
            <w:tcBorders>
              <w:top w:val="nil"/>
            </w:tcBorders>
          </w:tcPr>
          <w:p w:rsidR="007707B9" w:rsidRPr="002B181D" w:rsidRDefault="007707B9" w:rsidP="00116230">
            <w:pPr>
              <w:rPr>
                <w:color w:val="FF0000"/>
              </w:rPr>
            </w:pPr>
          </w:p>
        </w:tc>
        <w:tc>
          <w:tcPr>
            <w:tcW w:w="2297" w:type="dxa"/>
            <w:tcBorders>
              <w:top w:val="nil"/>
            </w:tcBorders>
          </w:tcPr>
          <w:p w:rsidR="007707B9" w:rsidRPr="002B181D" w:rsidRDefault="007707B9" w:rsidP="00116230">
            <w:pPr>
              <w:rPr>
                <w:color w:val="FF0000"/>
              </w:rPr>
            </w:pPr>
          </w:p>
        </w:tc>
        <w:tc>
          <w:tcPr>
            <w:tcW w:w="2457" w:type="dxa"/>
            <w:tcBorders>
              <w:top w:val="nil"/>
            </w:tcBorders>
          </w:tcPr>
          <w:p w:rsidR="007707B9" w:rsidRPr="002B181D" w:rsidRDefault="007707B9" w:rsidP="00116230">
            <w:pPr>
              <w:rPr>
                <w:color w:val="FF0000"/>
              </w:rPr>
            </w:pPr>
          </w:p>
        </w:tc>
      </w:tr>
    </w:tbl>
    <w:p w:rsidR="00544E30" w:rsidRDefault="00544E30" w:rsidP="00BC53F4">
      <w:pPr>
        <w:spacing w:line="240" w:lineRule="auto"/>
      </w:pPr>
    </w:p>
    <w:tbl>
      <w:tblPr>
        <w:tblStyle w:val="TableGrid"/>
        <w:tblW w:w="0" w:type="auto"/>
        <w:tblLook w:val="04A0" w:firstRow="1" w:lastRow="0" w:firstColumn="1" w:lastColumn="0" w:noHBand="0" w:noVBand="1"/>
      </w:tblPr>
      <w:tblGrid>
        <w:gridCol w:w="2303"/>
        <w:gridCol w:w="2647"/>
        <w:gridCol w:w="2051"/>
        <w:gridCol w:w="2241"/>
      </w:tblGrid>
      <w:tr w:rsidR="001A3BFA" w:rsidRPr="00203989" w:rsidTr="00107FCC">
        <w:tc>
          <w:tcPr>
            <w:tcW w:w="9242" w:type="dxa"/>
            <w:gridSpan w:val="4"/>
          </w:tcPr>
          <w:p w:rsidR="001A3BFA" w:rsidRPr="00203989" w:rsidRDefault="001A3BFA" w:rsidP="002D3416">
            <w:pPr>
              <w:pStyle w:val="Heading2"/>
              <w:outlineLvl w:val="1"/>
            </w:pPr>
            <w:r w:rsidRPr="00203989">
              <w:t xml:space="preserve">Step four: Identify privacy solutions </w:t>
            </w:r>
          </w:p>
        </w:tc>
      </w:tr>
      <w:tr w:rsidR="001A3BFA" w:rsidRPr="00203989" w:rsidTr="00107FCC">
        <w:tc>
          <w:tcPr>
            <w:tcW w:w="9242" w:type="dxa"/>
            <w:gridSpan w:val="4"/>
          </w:tcPr>
          <w:p w:rsidR="001A3BFA" w:rsidRPr="00203989" w:rsidRDefault="001A3BFA" w:rsidP="002D3416">
            <w:pPr>
              <w:pStyle w:val="ListParagraph"/>
              <w:numPr>
                <w:ilvl w:val="0"/>
                <w:numId w:val="3"/>
              </w:numPr>
              <w:ind w:left="284" w:hanging="284"/>
            </w:pPr>
            <w:r w:rsidRPr="00203989">
              <w:t>Describe the actions you could take to reduce the risks, and any future steps which would be necessary (e.g. the production of new guidance or future security testing for systems).</w:t>
            </w:r>
          </w:p>
        </w:tc>
      </w:tr>
      <w:tr w:rsidR="00B72281" w:rsidTr="00107FCC">
        <w:tc>
          <w:tcPr>
            <w:tcW w:w="2303" w:type="dxa"/>
            <w:shd w:val="clear" w:color="auto" w:fill="EEECE1" w:themeFill="background2"/>
          </w:tcPr>
          <w:p w:rsidR="001A3BFA" w:rsidRDefault="001A3BFA" w:rsidP="002D3416">
            <w:r>
              <w:t xml:space="preserve">Risk </w:t>
            </w:r>
          </w:p>
        </w:tc>
        <w:tc>
          <w:tcPr>
            <w:tcW w:w="2647" w:type="dxa"/>
            <w:shd w:val="clear" w:color="auto" w:fill="EEECE1" w:themeFill="background2"/>
          </w:tcPr>
          <w:p w:rsidR="001A3BFA" w:rsidRDefault="001A3BFA" w:rsidP="002D3416">
            <w:r>
              <w:t>Solution(s)</w:t>
            </w:r>
          </w:p>
        </w:tc>
        <w:tc>
          <w:tcPr>
            <w:tcW w:w="2051" w:type="dxa"/>
            <w:shd w:val="clear" w:color="auto" w:fill="EEECE1" w:themeFill="background2"/>
          </w:tcPr>
          <w:p w:rsidR="001A3BFA" w:rsidRDefault="001A3BFA" w:rsidP="002D3416">
            <w:r>
              <w:t xml:space="preserve">Result: is the risk </w:t>
            </w:r>
            <w:r>
              <w:lastRenderedPageBreak/>
              <w:t>eliminated, reduced, or accepted?</w:t>
            </w:r>
          </w:p>
        </w:tc>
        <w:tc>
          <w:tcPr>
            <w:tcW w:w="2241" w:type="dxa"/>
            <w:shd w:val="clear" w:color="auto" w:fill="EEECE1" w:themeFill="background2"/>
          </w:tcPr>
          <w:p w:rsidR="001A3BFA" w:rsidRDefault="001A3BFA" w:rsidP="002D3416">
            <w:r>
              <w:lastRenderedPageBreak/>
              <w:t xml:space="preserve">Evaluation: is the </w:t>
            </w:r>
            <w:r>
              <w:lastRenderedPageBreak/>
              <w:t>final impact on individuals after implementing each solution a justified, compliant and proportionate response to the aims of the project?</w:t>
            </w:r>
          </w:p>
        </w:tc>
      </w:tr>
      <w:tr w:rsidR="00B72281" w:rsidRPr="00D24BE3" w:rsidTr="00107FCC">
        <w:tc>
          <w:tcPr>
            <w:tcW w:w="2303" w:type="dxa"/>
          </w:tcPr>
          <w:p w:rsidR="007510C8" w:rsidRPr="00D24BE3" w:rsidRDefault="007510C8" w:rsidP="007707B9">
            <w:r w:rsidRPr="00D24BE3">
              <w:lastRenderedPageBreak/>
              <w:t xml:space="preserve">Sensitive person identifiable data stored on the </w:t>
            </w:r>
            <w:proofErr w:type="spellStart"/>
            <w:r w:rsidRPr="00D24BE3">
              <w:t>HISbi</w:t>
            </w:r>
            <w:proofErr w:type="spellEnd"/>
            <w:r w:rsidRPr="00D24BE3">
              <w:t xml:space="preserve"> data warehouse</w:t>
            </w:r>
          </w:p>
        </w:tc>
        <w:tc>
          <w:tcPr>
            <w:tcW w:w="2647" w:type="dxa"/>
          </w:tcPr>
          <w:p w:rsidR="007510C8" w:rsidRPr="00D24BE3" w:rsidRDefault="007510C8" w:rsidP="007707B9">
            <w:pPr>
              <w:pStyle w:val="ListParagraph"/>
              <w:numPr>
                <w:ilvl w:val="0"/>
                <w:numId w:val="3"/>
              </w:numPr>
              <w:ind w:left="222" w:hanging="222"/>
            </w:pPr>
            <w:r w:rsidRPr="00D24BE3">
              <w:t>Limited access to the developer doing the work.</w:t>
            </w:r>
          </w:p>
          <w:p w:rsidR="007510C8" w:rsidRPr="00D24BE3" w:rsidRDefault="007510C8" w:rsidP="007707B9">
            <w:pPr>
              <w:pStyle w:val="ListParagraph"/>
              <w:numPr>
                <w:ilvl w:val="0"/>
                <w:numId w:val="3"/>
              </w:numPr>
              <w:ind w:left="222" w:hanging="222"/>
            </w:pPr>
            <w:r w:rsidRPr="00D24BE3">
              <w:t>Secure area of the server set up.</w:t>
            </w:r>
          </w:p>
          <w:p w:rsidR="007510C8" w:rsidRPr="00D24BE3" w:rsidRDefault="007510C8" w:rsidP="007707B9">
            <w:pPr>
              <w:pStyle w:val="ListParagraph"/>
              <w:numPr>
                <w:ilvl w:val="0"/>
                <w:numId w:val="3"/>
              </w:numPr>
              <w:ind w:left="222" w:hanging="222"/>
            </w:pPr>
            <w:r w:rsidRPr="00D24BE3">
              <w:t>Data encrypted or anonymised when not in use.</w:t>
            </w:r>
          </w:p>
        </w:tc>
        <w:tc>
          <w:tcPr>
            <w:tcW w:w="2051" w:type="dxa"/>
          </w:tcPr>
          <w:p w:rsidR="007510C8" w:rsidRPr="00D24BE3" w:rsidRDefault="007510C8" w:rsidP="007707B9">
            <w:r w:rsidRPr="00D24BE3">
              <w:t>Risk is reduced to satisfactory levels.</w:t>
            </w:r>
          </w:p>
        </w:tc>
        <w:tc>
          <w:tcPr>
            <w:tcW w:w="2241" w:type="dxa"/>
          </w:tcPr>
          <w:p w:rsidR="007510C8" w:rsidRPr="00D24BE3" w:rsidRDefault="007510C8" w:rsidP="007707B9">
            <w:r w:rsidRPr="00D24BE3">
              <w:t>Yes</w:t>
            </w:r>
          </w:p>
        </w:tc>
      </w:tr>
      <w:tr w:rsidR="00B72281" w:rsidRPr="00D24BE3" w:rsidTr="00107FCC">
        <w:tc>
          <w:tcPr>
            <w:tcW w:w="2303" w:type="dxa"/>
          </w:tcPr>
          <w:p w:rsidR="007510C8" w:rsidRPr="00D24BE3" w:rsidRDefault="007510C8" w:rsidP="007707B9">
            <w:r w:rsidRPr="00D24BE3">
              <w:t>Data linked to identifiable A&amp;E data could increase the risk of inadvertent unauthorised or accidental access.</w:t>
            </w:r>
          </w:p>
        </w:tc>
        <w:tc>
          <w:tcPr>
            <w:tcW w:w="2647" w:type="dxa"/>
          </w:tcPr>
          <w:p w:rsidR="007510C8" w:rsidRPr="00D24BE3" w:rsidRDefault="007510C8" w:rsidP="007707B9">
            <w:pPr>
              <w:pStyle w:val="ListParagraph"/>
              <w:numPr>
                <w:ilvl w:val="0"/>
                <w:numId w:val="3"/>
              </w:numPr>
              <w:ind w:left="222" w:hanging="222"/>
            </w:pPr>
            <w:r w:rsidRPr="00D24BE3">
              <w:t>Trusts providing A&amp;E data will not have access to the police data.</w:t>
            </w:r>
          </w:p>
          <w:p w:rsidR="007510C8" w:rsidRPr="00D24BE3" w:rsidRDefault="007510C8" w:rsidP="00583F48">
            <w:pPr>
              <w:pStyle w:val="ListParagraph"/>
              <w:numPr>
                <w:ilvl w:val="0"/>
                <w:numId w:val="3"/>
              </w:numPr>
              <w:ind w:left="222" w:hanging="222"/>
            </w:pPr>
            <w:r w:rsidRPr="00D24BE3">
              <w:t xml:space="preserve">The working dataset </w:t>
            </w:r>
            <w:r w:rsidR="00B72281">
              <w:t xml:space="preserve">containing a Kent Police one-off unique reference number </w:t>
            </w:r>
            <w:r w:rsidRPr="00D24BE3">
              <w:t xml:space="preserve">will </w:t>
            </w:r>
            <w:proofErr w:type="spellStart"/>
            <w:r w:rsidRPr="00D24BE3">
              <w:t>be</w:t>
            </w:r>
            <w:r w:rsidR="00B72281">
              <w:t>passed</w:t>
            </w:r>
            <w:proofErr w:type="spellEnd"/>
            <w:r w:rsidR="00B72281">
              <w:t xml:space="preserve"> back to Kent </w:t>
            </w:r>
            <w:proofErr w:type="gramStart"/>
            <w:r w:rsidR="00B72281">
              <w:t>Police.</w:t>
            </w:r>
            <w:proofErr w:type="gramEnd"/>
            <w:r w:rsidR="00B72281">
              <w:t xml:space="preserve"> The URN will not be able to be reversed so the data will be effectively anonymised. </w:t>
            </w:r>
            <w:r w:rsidRPr="00D24BE3">
              <w:t>.</w:t>
            </w:r>
          </w:p>
        </w:tc>
        <w:tc>
          <w:tcPr>
            <w:tcW w:w="2051" w:type="dxa"/>
          </w:tcPr>
          <w:p w:rsidR="007510C8" w:rsidRPr="00D24BE3" w:rsidRDefault="007510C8" w:rsidP="007707B9">
            <w:r w:rsidRPr="00D24BE3">
              <w:t>Risk is reduced to satisfactory levels.</w:t>
            </w:r>
          </w:p>
        </w:tc>
        <w:tc>
          <w:tcPr>
            <w:tcW w:w="2241" w:type="dxa"/>
          </w:tcPr>
          <w:p w:rsidR="007510C8" w:rsidRPr="00D24BE3" w:rsidRDefault="007510C8" w:rsidP="007707B9">
            <w:r w:rsidRPr="00D24BE3">
              <w:t>Yes</w:t>
            </w:r>
          </w:p>
        </w:tc>
      </w:tr>
      <w:tr w:rsidR="00B72281" w:rsidRPr="00D24BE3" w:rsidTr="00107FCC">
        <w:tc>
          <w:tcPr>
            <w:tcW w:w="2303" w:type="dxa"/>
          </w:tcPr>
          <w:p w:rsidR="007707B9" w:rsidRPr="00D24BE3" w:rsidRDefault="007707B9" w:rsidP="007707B9">
            <w:r w:rsidRPr="00D24BE3">
              <w:t>Poor governance</w:t>
            </w:r>
          </w:p>
        </w:tc>
        <w:tc>
          <w:tcPr>
            <w:tcW w:w="2647" w:type="dxa"/>
          </w:tcPr>
          <w:p w:rsidR="007707B9" w:rsidRPr="00D24BE3" w:rsidRDefault="007510C8" w:rsidP="007707B9">
            <w:pPr>
              <w:pStyle w:val="ListParagraph"/>
              <w:numPr>
                <w:ilvl w:val="0"/>
                <w:numId w:val="3"/>
              </w:numPr>
              <w:ind w:left="222" w:hanging="222"/>
            </w:pPr>
            <w:r w:rsidRPr="00D24BE3">
              <w:t>Appropriate governance to be</w:t>
            </w:r>
            <w:r w:rsidR="007707B9" w:rsidRPr="00D24BE3">
              <w:t xml:space="preserve"> agreed</w:t>
            </w:r>
            <w:r w:rsidRPr="00D24BE3">
              <w:t xml:space="preserve"> between Kent Police and the acute trusts providing the A&amp;E data.</w:t>
            </w:r>
          </w:p>
          <w:p w:rsidR="007510C8" w:rsidRPr="00D24BE3" w:rsidRDefault="007510C8" w:rsidP="007707B9">
            <w:pPr>
              <w:pStyle w:val="ListParagraph"/>
              <w:numPr>
                <w:ilvl w:val="0"/>
                <w:numId w:val="3"/>
              </w:numPr>
              <w:ind w:left="222" w:hanging="222"/>
            </w:pPr>
            <w:r w:rsidRPr="00D24BE3">
              <w:t>The parties involved in this project are signed up to the Kent and Medway Information Partnership</w:t>
            </w:r>
          </w:p>
        </w:tc>
        <w:tc>
          <w:tcPr>
            <w:tcW w:w="2051" w:type="dxa"/>
          </w:tcPr>
          <w:p w:rsidR="007707B9" w:rsidRPr="00D24BE3" w:rsidRDefault="007707B9" w:rsidP="007707B9">
            <w:r w:rsidRPr="00D24BE3">
              <w:t>Eliminated</w:t>
            </w:r>
          </w:p>
        </w:tc>
        <w:tc>
          <w:tcPr>
            <w:tcW w:w="2241" w:type="dxa"/>
          </w:tcPr>
          <w:p w:rsidR="007707B9" w:rsidRPr="00D24BE3" w:rsidRDefault="007707B9" w:rsidP="007707B9">
            <w:r w:rsidRPr="00D24BE3">
              <w:t>No impact</w:t>
            </w:r>
          </w:p>
        </w:tc>
      </w:tr>
      <w:tr w:rsidR="00B72281" w:rsidRPr="00D24BE3" w:rsidTr="00107FCC">
        <w:tc>
          <w:tcPr>
            <w:tcW w:w="2303" w:type="dxa"/>
          </w:tcPr>
          <w:p w:rsidR="007707B9" w:rsidRPr="00D24BE3" w:rsidRDefault="007707B9" w:rsidP="007707B9">
            <w:r w:rsidRPr="00D24BE3">
              <w:t>Changing purpose</w:t>
            </w:r>
          </w:p>
        </w:tc>
        <w:tc>
          <w:tcPr>
            <w:tcW w:w="2647" w:type="dxa"/>
          </w:tcPr>
          <w:p w:rsidR="007707B9" w:rsidRPr="00D24BE3" w:rsidRDefault="007510C8" w:rsidP="00C67807">
            <w:pPr>
              <w:pStyle w:val="ListParagraph"/>
              <w:numPr>
                <w:ilvl w:val="0"/>
                <w:numId w:val="3"/>
              </w:numPr>
              <w:ind w:left="222" w:hanging="222"/>
            </w:pPr>
            <w:r w:rsidRPr="00D24BE3">
              <w:t xml:space="preserve">There will be no change to the purpose of this project without </w:t>
            </w:r>
            <w:r w:rsidR="00FC0F88" w:rsidRPr="00D24BE3">
              <w:t xml:space="preserve">agreement of all </w:t>
            </w:r>
            <w:r w:rsidR="00FC0F88" w:rsidRPr="00D24BE3">
              <w:lastRenderedPageBreak/>
              <w:t xml:space="preserve">parties and sign off </w:t>
            </w:r>
            <w:r w:rsidR="00BD7502">
              <w:t xml:space="preserve">by </w:t>
            </w:r>
            <w:r w:rsidR="00FC0F88" w:rsidRPr="00D24BE3">
              <w:t>the D</w:t>
            </w:r>
            <w:r w:rsidR="00BD7502">
              <w:t xml:space="preserve">ata </w:t>
            </w:r>
            <w:r w:rsidR="00FC0F88" w:rsidRPr="00D24BE3">
              <w:t>P</w:t>
            </w:r>
            <w:r w:rsidR="00BD7502">
              <w:t xml:space="preserve">rotection </w:t>
            </w:r>
            <w:r w:rsidR="00FC0F88" w:rsidRPr="00D24BE3">
              <w:t>O</w:t>
            </w:r>
            <w:r w:rsidR="00BD7502">
              <w:t>fficer (DPO)</w:t>
            </w:r>
            <w:r w:rsidR="00FC0F88" w:rsidRPr="00D24BE3">
              <w:t>.</w:t>
            </w:r>
          </w:p>
        </w:tc>
        <w:tc>
          <w:tcPr>
            <w:tcW w:w="2051" w:type="dxa"/>
          </w:tcPr>
          <w:p w:rsidR="007707B9" w:rsidRPr="00D24BE3" w:rsidRDefault="007707B9" w:rsidP="007707B9">
            <w:r w:rsidRPr="00D24BE3">
              <w:lastRenderedPageBreak/>
              <w:t>Reduced</w:t>
            </w:r>
          </w:p>
        </w:tc>
        <w:tc>
          <w:tcPr>
            <w:tcW w:w="2241" w:type="dxa"/>
          </w:tcPr>
          <w:p w:rsidR="007707B9" w:rsidRPr="00D24BE3" w:rsidRDefault="007707B9" w:rsidP="007707B9">
            <w:r w:rsidRPr="00D24BE3">
              <w:t>Justifiable residual impact</w:t>
            </w:r>
          </w:p>
        </w:tc>
      </w:tr>
      <w:tr w:rsidR="00B72281" w:rsidRPr="00D24BE3" w:rsidTr="00107FCC">
        <w:tc>
          <w:tcPr>
            <w:tcW w:w="2303" w:type="dxa"/>
          </w:tcPr>
          <w:p w:rsidR="007707B9" w:rsidRPr="00D24BE3" w:rsidRDefault="007707B9" w:rsidP="007707B9">
            <w:r w:rsidRPr="00D24BE3">
              <w:lastRenderedPageBreak/>
              <w:t>Breadth of data collection</w:t>
            </w:r>
          </w:p>
        </w:tc>
        <w:tc>
          <w:tcPr>
            <w:tcW w:w="2647" w:type="dxa"/>
          </w:tcPr>
          <w:p w:rsidR="007707B9" w:rsidRPr="00D24BE3" w:rsidRDefault="00FC0F88" w:rsidP="00C67807">
            <w:pPr>
              <w:pStyle w:val="ListParagraph"/>
              <w:numPr>
                <w:ilvl w:val="0"/>
                <w:numId w:val="3"/>
              </w:numPr>
              <w:ind w:left="249" w:hanging="218"/>
            </w:pPr>
            <w:r w:rsidRPr="00D24BE3">
              <w:t xml:space="preserve">The minimum data for the project to be effective will be agreed by all parties and signed off </w:t>
            </w:r>
            <w:r w:rsidR="00BD7502">
              <w:t xml:space="preserve">by </w:t>
            </w:r>
            <w:r w:rsidRPr="00D24BE3">
              <w:t>the DPO.</w:t>
            </w:r>
          </w:p>
        </w:tc>
        <w:tc>
          <w:tcPr>
            <w:tcW w:w="2051" w:type="dxa"/>
          </w:tcPr>
          <w:p w:rsidR="007707B9" w:rsidRPr="00D24BE3" w:rsidRDefault="007707B9" w:rsidP="007707B9">
            <w:r w:rsidRPr="00D24BE3">
              <w:t>Reduced</w:t>
            </w:r>
          </w:p>
        </w:tc>
        <w:tc>
          <w:tcPr>
            <w:tcW w:w="2241" w:type="dxa"/>
          </w:tcPr>
          <w:p w:rsidR="007707B9" w:rsidRPr="00D24BE3" w:rsidRDefault="007707B9" w:rsidP="007707B9">
            <w:r w:rsidRPr="00D24BE3">
              <w:t>Justifiable residual impact</w:t>
            </w:r>
          </w:p>
        </w:tc>
      </w:tr>
      <w:tr w:rsidR="00B72281" w:rsidRPr="00D24BE3" w:rsidTr="00107FCC">
        <w:tc>
          <w:tcPr>
            <w:tcW w:w="2303" w:type="dxa"/>
          </w:tcPr>
          <w:p w:rsidR="007707B9" w:rsidRPr="00D24BE3" w:rsidRDefault="007707B9" w:rsidP="007707B9">
            <w:r w:rsidRPr="00D24BE3">
              <w:t>Poor analytical output</w:t>
            </w:r>
          </w:p>
        </w:tc>
        <w:tc>
          <w:tcPr>
            <w:tcW w:w="2647" w:type="dxa"/>
          </w:tcPr>
          <w:p w:rsidR="007707B9" w:rsidRDefault="00FC0F88" w:rsidP="007707B9">
            <w:pPr>
              <w:pStyle w:val="ListParagraph"/>
              <w:numPr>
                <w:ilvl w:val="0"/>
                <w:numId w:val="3"/>
              </w:numPr>
              <w:ind w:left="222" w:hanging="222"/>
            </w:pPr>
            <w:proofErr w:type="gramStart"/>
            <w:r w:rsidRPr="00D24BE3">
              <w:t>This a</w:t>
            </w:r>
            <w:proofErr w:type="gramEnd"/>
            <w:r w:rsidRPr="00D24BE3">
              <w:t xml:space="preserve"> pilot to establish if there is a predictable pattern to serious crimes being committed and will be properly evaluated before further analysis.</w:t>
            </w:r>
          </w:p>
          <w:p w:rsidR="00D24BE3" w:rsidRPr="00D24BE3" w:rsidRDefault="001A53CF" w:rsidP="007707B9">
            <w:pPr>
              <w:pStyle w:val="ListParagraph"/>
              <w:numPr>
                <w:ilvl w:val="0"/>
                <w:numId w:val="3"/>
              </w:numPr>
              <w:ind w:left="222" w:hanging="222"/>
            </w:pPr>
            <w:r>
              <w:t xml:space="preserve">Because of the method of data matching used, the percentage of data matching may be low. If this is below the threshold deemed to produce robust analysis then the pilot will not continue. </w:t>
            </w:r>
          </w:p>
          <w:p w:rsidR="007707B9" w:rsidRPr="00D24BE3" w:rsidRDefault="007707B9" w:rsidP="002B181D"/>
        </w:tc>
        <w:tc>
          <w:tcPr>
            <w:tcW w:w="2051" w:type="dxa"/>
          </w:tcPr>
          <w:p w:rsidR="007707B9" w:rsidRPr="00D24BE3" w:rsidRDefault="00FC0F88" w:rsidP="007707B9">
            <w:r w:rsidRPr="00D24BE3">
              <w:t>Eliminated</w:t>
            </w:r>
          </w:p>
        </w:tc>
        <w:tc>
          <w:tcPr>
            <w:tcW w:w="2241" w:type="dxa"/>
          </w:tcPr>
          <w:p w:rsidR="007707B9" w:rsidRPr="00D24BE3" w:rsidRDefault="00FC0F88" w:rsidP="007707B9">
            <w:r w:rsidRPr="00D24BE3">
              <w:t>No impact</w:t>
            </w:r>
          </w:p>
        </w:tc>
      </w:tr>
      <w:tr w:rsidR="00B72281" w:rsidRPr="00D24BE3" w:rsidTr="00107FCC">
        <w:tc>
          <w:tcPr>
            <w:tcW w:w="2303" w:type="dxa"/>
          </w:tcPr>
          <w:p w:rsidR="00FC0F88" w:rsidRPr="00D24BE3" w:rsidRDefault="00FC0F88" w:rsidP="007707B9">
            <w:r w:rsidRPr="00D24BE3">
              <w:t>Using information for too long</w:t>
            </w:r>
          </w:p>
        </w:tc>
        <w:tc>
          <w:tcPr>
            <w:tcW w:w="2647" w:type="dxa"/>
          </w:tcPr>
          <w:p w:rsidR="00FC0F88" w:rsidRPr="00D24BE3" w:rsidRDefault="00FC0F88" w:rsidP="00136B58">
            <w:pPr>
              <w:pStyle w:val="ListParagraph"/>
              <w:numPr>
                <w:ilvl w:val="0"/>
                <w:numId w:val="3"/>
              </w:numPr>
              <w:ind w:left="222" w:hanging="222"/>
            </w:pPr>
            <w:proofErr w:type="gramStart"/>
            <w:r w:rsidRPr="00D24BE3">
              <w:t>This a</w:t>
            </w:r>
            <w:proofErr w:type="gramEnd"/>
            <w:r w:rsidRPr="00D24BE3">
              <w:t xml:space="preserve"> pilot to establish if there is a predictable pattern to serious crimes being committed and will be properly evaluated before further analysis.</w:t>
            </w:r>
          </w:p>
          <w:p w:rsidR="00FC0F88" w:rsidRPr="00D24BE3" w:rsidRDefault="00FC0F88" w:rsidP="00136B58"/>
        </w:tc>
        <w:tc>
          <w:tcPr>
            <w:tcW w:w="2051" w:type="dxa"/>
          </w:tcPr>
          <w:p w:rsidR="00FC0F88" w:rsidRPr="00D24BE3" w:rsidRDefault="00FC0F88" w:rsidP="007707B9">
            <w:r w:rsidRPr="00D24BE3">
              <w:t>Eliminated</w:t>
            </w:r>
          </w:p>
        </w:tc>
        <w:tc>
          <w:tcPr>
            <w:tcW w:w="2241" w:type="dxa"/>
          </w:tcPr>
          <w:p w:rsidR="00FC0F88" w:rsidRPr="00D24BE3" w:rsidRDefault="00FC0F88" w:rsidP="007707B9">
            <w:r w:rsidRPr="00D24BE3">
              <w:t>Proportionate impact</w:t>
            </w:r>
          </w:p>
          <w:p w:rsidR="00FC0F88" w:rsidRPr="00D24BE3" w:rsidRDefault="00FC0F88" w:rsidP="007707B9">
            <w:r w:rsidRPr="00D24BE3">
              <w:t>Note: 10 year retention period due to time based analyses</w:t>
            </w:r>
          </w:p>
        </w:tc>
      </w:tr>
      <w:tr w:rsidR="00B72281" w:rsidRPr="00D24BE3" w:rsidTr="00107FCC">
        <w:tc>
          <w:tcPr>
            <w:tcW w:w="2303" w:type="dxa"/>
          </w:tcPr>
          <w:p w:rsidR="00FC0F88" w:rsidRPr="00D24BE3" w:rsidRDefault="00FC0F88" w:rsidP="007707B9">
            <w:r w:rsidRPr="00D24BE3">
              <w:t>Information which is collected and stored unnecessarily, or is not properly managed</w:t>
            </w:r>
          </w:p>
        </w:tc>
        <w:tc>
          <w:tcPr>
            <w:tcW w:w="2647" w:type="dxa"/>
          </w:tcPr>
          <w:p w:rsidR="00FC0F88" w:rsidRPr="00D24BE3" w:rsidRDefault="00FC0F88" w:rsidP="00136B58">
            <w:pPr>
              <w:pStyle w:val="ListParagraph"/>
              <w:numPr>
                <w:ilvl w:val="0"/>
                <w:numId w:val="3"/>
              </w:numPr>
              <w:ind w:left="222" w:hanging="222"/>
            </w:pPr>
            <w:r w:rsidRPr="00D24BE3">
              <w:t>Secure area of the server set up.</w:t>
            </w:r>
          </w:p>
          <w:p w:rsidR="00FC0F88" w:rsidRPr="00D24BE3" w:rsidRDefault="00FC0F88" w:rsidP="00136B58">
            <w:pPr>
              <w:pStyle w:val="ListParagraph"/>
              <w:numPr>
                <w:ilvl w:val="0"/>
                <w:numId w:val="3"/>
              </w:numPr>
              <w:ind w:left="222" w:hanging="222"/>
            </w:pPr>
            <w:r w:rsidRPr="00D24BE3">
              <w:t>Data encrypted or anonymised when not in use (</w:t>
            </w:r>
            <w:proofErr w:type="spellStart"/>
            <w:r w:rsidRPr="00D24BE3">
              <w:t>pseudonymisation</w:t>
            </w:r>
            <w:proofErr w:type="spellEnd"/>
            <w:r w:rsidRPr="00D24BE3">
              <w:t xml:space="preserve"> at rest)</w:t>
            </w:r>
          </w:p>
        </w:tc>
        <w:tc>
          <w:tcPr>
            <w:tcW w:w="2051" w:type="dxa"/>
          </w:tcPr>
          <w:p w:rsidR="00FC0F88" w:rsidRPr="00D24BE3" w:rsidRDefault="00FC0F88" w:rsidP="007707B9">
            <w:r w:rsidRPr="00D24BE3">
              <w:t>Reduced</w:t>
            </w:r>
          </w:p>
        </w:tc>
        <w:tc>
          <w:tcPr>
            <w:tcW w:w="2241" w:type="dxa"/>
          </w:tcPr>
          <w:p w:rsidR="00FC0F88" w:rsidRPr="00D24BE3" w:rsidRDefault="00FC0F88" w:rsidP="007707B9">
            <w:r w:rsidRPr="00D24BE3">
              <w:t>Justifiable residual impact</w:t>
            </w:r>
          </w:p>
        </w:tc>
      </w:tr>
      <w:tr w:rsidR="00B72281" w:rsidRPr="00D24BE3" w:rsidTr="00107FCC">
        <w:tc>
          <w:tcPr>
            <w:tcW w:w="2303" w:type="dxa"/>
          </w:tcPr>
          <w:p w:rsidR="007707B9" w:rsidRPr="00D24BE3" w:rsidRDefault="007707B9" w:rsidP="007707B9">
            <w:r w:rsidRPr="00D24BE3">
              <w:t>Inadequate disclosure controls</w:t>
            </w:r>
          </w:p>
        </w:tc>
        <w:tc>
          <w:tcPr>
            <w:tcW w:w="2647" w:type="dxa"/>
          </w:tcPr>
          <w:p w:rsidR="009502D6" w:rsidRPr="00D24BE3" w:rsidRDefault="00FC0F88" w:rsidP="007707B9">
            <w:pPr>
              <w:pStyle w:val="ListParagraph"/>
              <w:numPr>
                <w:ilvl w:val="0"/>
                <w:numId w:val="3"/>
              </w:numPr>
              <w:ind w:left="222" w:hanging="222"/>
            </w:pPr>
            <w:r w:rsidRPr="00D24BE3">
              <w:t>Limited and specific developer access.</w:t>
            </w:r>
          </w:p>
          <w:p w:rsidR="00FC0F88" w:rsidRPr="00D24BE3" w:rsidRDefault="00FC0F88" w:rsidP="007707B9">
            <w:pPr>
              <w:pStyle w:val="ListParagraph"/>
              <w:numPr>
                <w:ilvl w:val="0"/>
                <w:numId w:val="3"/>
              </w:numPr>
              <w:ind w:left="222" w:hanging="222"/>
            </w:pPr>
            <w:r w:rsidRPr="00D24BE3">
              <w:t>Data access audited using special auditing software.</w:t>
            </w:r>
          </w:p>
          <w:p w:rsidR="00FC0F88" w:rsidRPr="00D24BE3" w:rsidRDefault="00FC0F88" w:rsidP="007707B9">
            <w:pPr>
              <w:pStyle w:val="ListParagraph"/>
              <w:numPr>
                <w:ilvl w:val="0"/>
                <w:numId w:val="3"/>
              </w:numPr>
              <w:ind w:left="222" w:hanging="222"/>
            </w:pPr>
            <w:r w:rsidRPr="00D24BE3">
              <w:lastRenderedPageBreak/>
              <w:t xml:space="preserve">Data </w:t>
            </w:r>
            <w:proofErr w:type="spellStart"/>
            <w:r w:rsidRPr="00D24BE3">
              <w:t>pseudonymised</w:t>
            </w:r>
            <w:proofErr w:type="spellEnd"/>
            <w:r w:rsidRPr="00D24BE3">
              <w:t xml:space="preserve"> at rest</w:t>
            </w:r>
          </w:p>
          <w:p w:rsidR="00FC0F88" w:rsidRPr="00D24BE3" w:rsidRDefault="00FC0F88" w:rsidP="00FC0F88">
            <w:pPr>
              <w:pStyle w:val="ListParagraph"/>
              <w:ind w:left="222"/>
            </w:pPr>
          </w:p>
        </w:tc>
        <w:tc>
          <w:tcPr>
            <w:tcW w:w="2051" w:type="dxa"/>
          </w:tcPr>
          <w:p w:rsidR="007707B9" w:rsidRPr="00D24BE3" w:rsidRDefault="007707B9" w:rsidP="007707B9">
            <w:r w:rsidRPr="00D24BE3">
              <w:lastRenderedPageBreak/>
              <w:t>Reduced</w:t>
            </w:r>
          </w:p>
        </w:tc>
        <w:tc>
          <w:tcPr>
            <w:tcW w:w="2241" w:type="dxa"/>
          </w:tcPr>
          <w:p w:rsidR="007707B9" w:rsidRPr="00D24BE3" w:rsidRDefault="007707B9" w:rsidP="007707B9">
            <w:r w:rsidRPr="00D24BE3">
              <w:t>Justifiable residual impact</w:t>
            </w:r>
          </w:p>
        </w:tc>
      </w:tr>
      <w:tr w:rsidR="00B72281" w:rsidRPr="00D24BE3" w:rsidTr="00107FCC">
        <w:tc>
          <w:tcPr>
            <w:tcW w:w="2303" w:type="dxa"/>
          </w:tcPr>
          <w:p w:rsidR="007707B9" w:rsidRPr="00D24BE3" w:rsidRDefault="007707B9" w:rsidP="007707B9">
            <w:r w:rsidRPr="00D24BE3">
              <w:lastRenderedPageBreak/>
              <w:t>Vulnerable people’s concern of identification</w:t>
            </w:r>
          </w:p>
        </w:tc>
        <w:tc>
          <w:tcPr>
            <w:tcW w:w="2647" w:type="dxa"/>
          </w:tcPr>
          <w:p w:rsidR="009502D6" w:rsidRPr="00D24BE3" w:rsidRDefault="00FC0F88" w:rsidP="00583F48">
            <w:pPr>
              <w:pStyle w:val="ListParagraph"/>
              <w:numPr>
                <w:ilvl w:val="0"/>
                <w:numId w:val="3"/>
              </w:numPr>
              <w:ind w:left="222" w:hanging="222"/>
            </w:pPr>
            <w:r w:rsidRPr="00D24BE3">
              <w:t xml:space="preserve">This is a pilot and the data will be </w:t>
            </w:r>
            <w:r w:rsidR="00B72281">
              <w:t xml:space="preserve">effectively anonymised (see earlier </w:t>
            </w:r>
            <w:r w:rsidRPr="00D24BE3">
              <w:t>before return to Kent Police.</w:t>
            </w:r>
          </w:p>
        </w:tc>
        <w:tc>
          <w:tcPr>
            <w:tcW w:w="2051" w:type="dxa"/>
          </w:tcPr>
          <w:p w:rsidR="007707B9" w:rsidRPr="00D24BE3" w:rsidRDefault="007707B9" w:rsidP="007707B9">
            <w:r w:rsidRPr="00D24BE3">
              <w:t>Reduced</w:t>
            </w:r>
          </w:p>
        </w:tc>
        <w:tc>
          <w:tcPr>
            <w:tcW w:w="2241" w:type="dxa"/>
          </w:tcPr>
          <w:p w:rsidR="007707B9" w:rsidRPr="00D24BE3" w:rsidRDefault="007707B9" w:rsidP="007707B9">
            <w:r w:rsidRPr="00D24BE3">
              <w:t>Justifiable residual impact</w:t>
            </w:r>
          </w:p>
        </w:tc>
      </w:tr>
      <w:tr w:rsidR="00B72281" w:rsidRPr="00D24BE3" w:rsidTr="00107FCC">
        <w:tc>
          <w:tcPr>
            <w:tcW w:w="2303" w:type="dxa"/>
          </w:tcPr>
          <w:p w:rsidR="007707B9" w:rsidRPr="00D24BE3" w:rsidRDefault="007707B9" w:rsidP="007707B9">
            <w:r w:rsidRPr="00D24BE3">
              <w:t>Information no longer safely anonymised</w:t>
            </w:r>
            <w:r w:rsidR="00821D73" w:rsidRPr="00D24BE3">
              <w:t xml:space="preserve"> (where appropriate)</w:t>
            </w:r>
          </w:p>
        </w:tc>
        <w:tc>
          <w:tcPr>
            <w:tcW w:w="2647" w:type="dxa"/>
          </w:tcPr>
          <w:p w:rsidR="007707B9" w:rsidRPr="00D24BE3" w:rsidRDefault="009502D6" w:rsidP="00F65256">
            <w:pPr>
              <w:pStyle w:val="ListParagraph"/>
              <w:numPr>
                <w:ilvl w:val="0"/>
                <w:numId w:val="3"/>
              </w:numPr>
              <w:ind w:left="222" w:hanging="222"/>
            </w:pPr>
            <w:proofErr w:type="spellStart"/>
            <w:r w:rsidRPr="00D24BE3">
              <w:t>Pseudonymisation</w:t>
            </w:r>
            <w:proofErr w:type="spellEnd"/>
            <w:r w:rsidRPr="00D24BE3">
              <w:t xml:space="preserve"> at rest</w:t>
            </w:r>
          </w:p>
          <w:p w:rsidR="00F65256" w:rsidRPr="00D24BE3" w:rsidRDefault="00F65256" w:rsidP="00F65256">
            <w:pPr>
              <w:pStyle w:val="ListParagraph"/>
              <w:numPr>
                <w:ilvl w:val="0"/>
                <w:numId w:val="3"/>
              </w:numPr>
              <w:ind w:left="222" w:hanging="222"/>
            </w:pPr>
            <w:r w:rsidRPr="00D24BE3">
              <w:t>Data destruction at the end of the pilot.</w:t>
            </w:r>
          </w:p>
        </w:tc>
        <w:tc>
          <w:tcPr>
            <w:tcW w:w="2051" w:type="dxa"/>
          </w:tcPr>
          <w:p w:rsidR="007707B9" w:rsidRPr="00D24BE3" w:rsidRDefault="007707B9" w:rsidP="007707B9">
            <w:r w:rsidRPr="00D24BE3">
              <w:t>Reduced</w:t>
            </w:r>
          </w:p>
        </w:tc>
        <w:tc>
          <w:tcPr>
            <w:tcW w:w="2241" w:type="dxa"/>
          </w:tcPr>
          <w:p w:rsidR="007707B9" w:rsidRPr="00D24BE3" w:rsidRDefault="007707B9" w:rsidP="007707B9">
            <w:r w:rsidRPr="00D24BE3">
              <w:t>Justifiable residual impact</w:t>
            </w:r>
          </w:p>
        </w:tc>
      </w:tr>
      <w:tr w:rsidR="00B72281" w:rsidRPr="00D24BE3" w:rsidTr="00107FCC">
        <w:tc>
          <w:tcPr>
            <w:tcW w:w="2303" w:type="dxa"/>
          </w:tcPr>
          <w:p w:rsidR="007707B9" w:rsidRPr="00D24BE3" w:rsidRDefault="007707B9" w:rsidP="007707B9">
            <w:r w:rsidRPr="00D24BE3">
              <w:t>Re-identification causing harm and distress</w:t>
            </w:r>
          </w:p>
        </w:tc>
        <w:tc>
          <w:tcPr>
            <w:tcW w:w="2647" w:type="dxa"/>
          </w:tcPr>
          <w:p w:rsidR="00F65256" w:rsidRPr="00D24BE3" w:rsidRDefault="00F65256" w:rsidP="007707B9">
            <w:pPr>
              <w:pStyle w:val="ListParagraph"/>
              <w:numPr>
                <w:ilvl w:val="0"/>
                <w:numId w:val="3"/>
              </w:numPr>
              <w:ind w:left="222" w:hanging="222"/>
            </w:pPr>
            <w:r w:rsidRPr="00D24BE3">
              <w:t xml:space="preserve">Data will be </w:t>
            </w:r>
            <w:r w:rsidR="00583F48">
              <w:t>anonymised</w:t>
            </w:r>
            <w:r w:rsidR="00583F48" w:rsidRPr="00D24BE3">
              <w:t xml:space="preserve"> </w:t>
            </w:r>
            <w:r w:rsidRPr="00D24BE3">
              <w:t>before analysis by Kent Police</w:t>
            </w:r>
          </w:p>
          <w:p w:rsidR="007707B9" w:rsidRPr="00D24BE3" w:rsidRDefault="00F65256" w:rsidP="00F65256">
            <w:pPr>
              <w:pStyle w:val="ListParagraph"/>
              <w:numPr>
                <w:ilvl w:val="0"/>
                <w:numId w:val="3"/>
              </w:numPr>
              <w:ind w:left="222" w:hanging="222"/>
            </w:pPr>
            <w:r w:rsidRPr="00D24BE3">
              <w:t>Adequate IG training for Kent Police researcher</w:t>
            </w:r>
          </w:p>
          <w:p w:rsidR="007707B9" w:rsidRPr="00D24BE3" w:rsidRDefault="007707B9" w:rsidP="007707B9">
            <w:pPr>
              <w:pStyle w:val="ListParagraph"/>
              <w:numPr>
                <w:ilvl w:val="0"/>
                <w:numId w:val="3"/>
              </w:numPr>
              <w:ind w:left="222" w:hanging="222"/>
            </w:pPr>
            <w:r w:rsidRPr="00D24BE3">
              <w:t>Strong</w:t>
            </w:r>
            <w:r w:rsidR="00F65256" w:rsidRPr="00D24BE3">
              <w:t xml:space="preserve"> o</w:t>
            </w:r>
            <w:r w:rsidRPr="00D24BE3">
              <w:t>rganisational controls emphasising disciplinary consequences of re-identification</w:t>
            </w:r>
          </w:p>
          <w:p w:rsidR="00F65256" w:rsidRPr="00D24BE3" w:rsidRDefault="00F65256" w:rsidP="00F65256">
            <w:pPr>
              <w:pStyle w:val="ListParagraph"/>
              <w:ind w:left="222"/>
            </w:pPr>
          </w:p>
        </w:tc>
        <w:tc>
          <w:tcPr>
            <w:tcW w:w="2051" w:type="dxa"/>
          </w:tcPr>
          <w:p w:rsidR="007707B9" w:rsidRPr="00D24BE3" w:rsidRDefault="007707B9" w:rsidP="007707B9">
            <w:r w:rsidRPr="00D24BE3">
              <w:t>Reduced</w:t>
            </w:r>
          </w:p>
        </w:tc>
        <w:tc>
          <w:tcPr>
            <w:tcW w:w="2241" w:type="dxa"/>
          </w:tcPr>
          <w:p w:rsidR="007707B9" w:rsidRPr="00D24BE3" w:rsidRDefault="007707B9" w:rsidP="007707B9">
            <w:r w:rsidRPr="00D24BE3">
              <w:t>Justifiable residual impact</w:t>
            </w:r>
          </w:p>
        </w:tc>
      </w:tr>
      <w:tr w:rsidR="00B72281" w:rsidRPr="00D24BE3" w:rsidTr="00107FCC">
        <w:tc>
          <w:tcPr>
            <w:tcW w:w="2303" w:type="dxa"/>
          </w:tcPr>
          <w:p w:rsidR="007707B9" w:rsidRPr="00D24BE3" w:rsidRDefault="007707B9" w:rsidP="007707B9">
            <w:r w:rsidRPr="00D24BE3">
              <w:t>Unexpected organisations knowing about individuals</w:t>
            </w:r>
          </w:p>
        </w:tc>
        <w:tc>
          <w:tcPr>
            <w:tcW w:w="2647" w:type="dxa"/>
          </w:tcPr>
          <w:p w:rsidR="007707B9" w:rsidRPr="00D24BE3" w:rsidRDefault="007707B9" w:rsidP="007707B9">
            <w:pPr>
              <w:pStyle w:val="ListParagraph"/>
              <w:numPr>
                <w:ilvl w:val="0"/>
                <w:numId w:val="3"/>
              </w:numPr>
              <w:ind w:left="222" w:hanging="222"/>
            </w:pPr>
            <w:r w:rsidRPr="00D24BE3">
              <w:t>Access control policy</w:t>
            </w:r>
          </w:p>
          <w:p w:rsidR="007707B9" w:rsidRDefault="007707B9" w:rsidP="007707B9">
            <w:pPr>
              <w:pStyle w:val="ListParagraph"/>
              <w:numPr>
                <w:ilvl w:val="0"/>
                <w:numId w:val="3"/>
              </w:numPr>
              <w:ind w:left="222" w:hanging="222"/>
            </w:pPr>
            <w:r w:rsidRPr="00D24BE3">
              <w:t>Disclosure controls</w:t>
            </w:r>
          </w:p>
          <w:p w:rsidR="001A53CF" w:rsidRPr="00D24BE3" w:rsidRDefault="001A53CF" w:rsidP="007707B9">
            <w:pPr>
              <w:pStyle w:val="ListParagraph"/>
              <w:numPr>
                <w:ilvl w:val="0"/>
                <w:numId w:val="3"/>
              </w:numPr>
              <w:ind w:left="222" w:hanging="222"/>
            </w:pPr>
            <w:r>
              <w:t>Anonymous dataset</w:t>
            </w:r>
          </w:p>
          <w:p w:rsidR="007707B9" w:rsidRPr="00D24BE3" w:rsidRDefault="007707B9" w:rsidP="007707B9">
            <w:pPr>
              <w:pStyle w:val="ListParagraph"/>
              <w:numPr>
                <w:ilvl w:val="0"/>
                <w:numId w:val="3"/>
              </w:numPr>
              <w:ind w:left="222" w:hanging="222"/>
            </w:pPr>
            <w:r w:rsidRPr="00D24BE3">
              <w:t>Establish data sharing agreement</w:t>
            </w:r>
          </w:p>
          <w:p w:rsidR="009502D6" w:rsidRPr="00D24BE3" w:rsidRDefault="009502D6" w:rsidP="007707B9">
            <w:pPr>
              <w:pStyle w:val="ListParagraph"/>
              <w:numPr>
                <w:ilvl w:val="0"/>
                <w:numId w:val="3"/>
              </w:numPr>
              <w:ind w:left="222" w:hanging="222"/>
            </w:pPr>
            <w:proofErr w:type="spellStart"/>
            <w:r w:rsidRPr="00D24BE3">
              <w:t>Pseudonymisation</w:t>
            </w:r>
            <w:proofErr w:type="spellEnd"/>
            <w:r w:rsidRPr="00D24BE3">
              <w:t xml:space="preserve"> at rest</w:t>
            </w:r>
          </w:p>
        </w:tc>
        <w:tc>
          <w:tcPr>
            <w:tcW w:w="2051" w:type="dxa"/>
          </w:tcPr>
          <w:p w:rsidR="007707B9" w:rsidRPr="00D24BE3" w:rsidRDefault="007707B9" w:rsidP="007707B9">
            <w:r w:rsidRPr="00D24BE3">
              <w:t>Reduced</w:t>
            </w:r>
          </w:p>
        </w:tc>
        <w:tc>
          <w:tcPr>
            <w:tcW w:w="2241" w:type="dxa"/>
          </w:tcPr>
          <w:p w:rsidR="007707B9" w:rsidRPr="00D24BE3" w:rsidRDefault="007707B9" w:rsidP="007707B9">
            <w:r w:rsidRPr="00D24BE3">
              <w:t>Justifiable residual impact</w:t>
            </w:r>
          </w:p>
        </w:tc>
      </w:tr>
    </w:tbl>
    <w:p w:rsidR="001A3BFA" w:rsidRDefault="001A3BFA" w:rsidP="00BC53F4">
      <w:pPr>
        <w:spacing w:line="240" w:lineRule="auto"/>
      </w:pPr>
    </w:p>
    <w:p w:rsidR="00544E30" w:rsidRDefault="00544E30" w:rsidP="00BC53F4">
      <w:pPr>
        <w:spacing w:line="240" w:lineRule="auto"/>
      </w:pPr>
    </w:p>
    <w:p w:rsidR="00535BFF" w:rsidRDefault="00544E30" w:rsidP="00203989">
      <w:pPr>
        <w:pStyle w:val="Heading2"/>
        <w:spacing w:line="240" w:lineRule="auto"/>
      </w:pPr>
      <w:r>
        <w:t xml:space="preserve">Step five: Sign off and record the </w:t>
      </w:r>
      <w:r w:rsidR="00F65256">
        <w:t>D</w:t>
      </w:r>
      <w:r>
        <w:t xml:space="preserve">PIA outcomes </w:t>
      </w:r>
    </w:p>
    <w:p w:rsidR="00544E30" w:rsidRDefault="00544E30" w:rsidP="00BC53F4">
      <w:pPr>
        <w:spacing w:line="240" w:lineRule="auto"/>
      </w:pPr>
    </w:p>
    <w:tbl>
      <w:tblPr>
        <w:tblStyle w:val="TableGrid"/>
        <w:tblW w:w="0" w:type="auto"/>
        <w:tblLook w:val="04A0" w:firstRow="1" w:lastRow="0" w:firstColumn="1" w:lastColumn="0" w:noHBand="0" w:noVBand="1"/>
      </w:tblPr>
      <w:tblGrid>
        <w:gridCol w:w="2919"/>
        <w:gridCol w:w="3161"/>
        <w:gridCol w:w="3162"/>
      </w:tblGrid>
      <w:tr w:rsidR="001A3BFA" w:rsidTr="002B181D">
        <w:trPr>
          <w:tblHeader/>
        </w:trPr>
        <w:tc>
          <w:tcPr>
            <w:tcW w:w="2919" w:type="dxa"/>
            <w:shd w:val="clear" w:color="auto" w:fill="F2F2F2" w:themeFill="background1" w:themeFillShade="F2"/>
          </w:tcPr>
          <w:p w:rsidR="001A3BFA" w:rsidRDefault="001A3BFA" w:rsidP="002D3416">
            <w:r>
              <w:t>Risk</w:t>
            </w:r>
          </w:p>
        </w:tc>
        <w:tc>
          <w:tcPr>
            <w:tcW w:w="3161" w:type="dxa"/>
            <w:shd w:val="clear" w:color="auto" w:fill="F2F2F2" w:themeFill="background1" w:themeFillShade="F2"/>
          </w:tcPr>
          <w:p w:rsidR="001A3BFA" w:rsidRDefault="001A3BFA" w:rsidP="002D3416">
            <w:r>
              <w:t>Approved solution</w:t>
            </w:r>
          </w:p>
        </w:tc>
        <w:tc>
          <w:tcPr>
            <w:tcW w:w="3162" w:type="dxa"/>
            <w:shd w:val="clear" w:color="auto" w:fill="F2F2F2" w:themeFill="background1" w:themeFillShade="F2"/>
          </w:tcPr>
          <w:p w:rsidR="001A3BFA" w:rsidRDefault="001A3BFA" w:rsidP="002D3416">
            <w:r w:rsidRPr="003C30A4">
              <w:t>To Be</w:t>
            </w:r>
            <w:r>
              <w:t xml:space="preserve"> Approved by</w:t>
            </w:r>
          </w:p>
        </w:tc>
      </w:tr>
      <w:tr w:rsidR="001A53CF" w:rsidRPr="001A53CF" w:rsidTr="002B181D">
        <w:tc>
          <w:tcPr>
            <w:tcW w:w="2919" w:type="dxa"/>
          </w:tcPr>
          <w:p w:rsidR="002B181D" w:rsidRPr="001A53CF" w:rsidRDefault="002B181D" w:rsidP="002B181D">
            <w:r w:rsidRPr="001A53CF">
              <w:t>Poor governance</w:t>
            </w:r>
          </w:p>
        </w:tc>
        <w:tc>
          <w:tcPr>
            <w:tcW w:w="3161" w:type="dxa"/>
          </w:tcPr>
          <w:p w:rsidR="002B181D" w:rsidRPr="001A53CF" w:rsidRDefault="002B181D" w:rsidP="002B181D">
            <w:pPr>
              <w:pStyle w:val="ListParagraph"/>
              <w:numPr>
                <w:ilvl w:val="0"/>
                <w:numId w:val="3"/>
              </w:numPr>
              <w:ind w:left="222" w:hanging="222"/>
            </w:pPr>
            <w:r w:rsidRPr="001A53CF">
              <w:t>Ensure existing arrangements work effectively</w:t>
            </w:r>
          </w:p>
        </w:tc>
        <w:tc>
          <w:tcPr>
            <w:tcW w:w="3162" w:type="dxa"/>
          </w:tcPr>
          <w:p w:rsidR="002B181D" w:rsidRPr="001A53CF" w:rsidRDefault="002B181D" w:rsidP="002B181D">
            <w:r w:rsidRPr="001A53CF">
              <w:t xml:space="preserve">NHS Trusts’ </w:t>
            </w:r>
            <w:proofErr w:type="spellStart"/>
            <w:r w:rsidRPr="001A53CF">
              <w:t>Caldicott</w:t>
            </w:r>
            <w:proofErr w:type="spellEnd"/>
            <w:r w:rsidRPr="001A53CF">
              <w:t xml:space="preserve"> Guardians / IG Leads</w:t>
            </w:r>
            <w:r w:rsidR="00F65256" w:rsidRPr="001A53CF">
              <w:t>/DPO</w:t>
            </w:r>
            <w:r w:rsidRPr="001A53CF">
              <w:t xml:space="preserve"> + Kent Police Information Assurance Board</w:t>
            </w:r>
          </w:p>
          <w:p w:rsidR="002B181D" w:rsidRPr="001A53CF" w:rsidRDefault="002B181D" w:rsidP="002B181D"/>
        </w:tc>
      </w:tr>
      <w:tr w:rsidR="001A53CF" w:rsidRPr="001A53CF" w:rsidTr="002B181D">
        <w:tc>
          <w:tcPr>
            <w:tcW w:w="2919" w:type="dxa"/>
          </w:tcPr>
          <w:p w:rsidR="002B181D" w:rsidRPr="001A53CF" w:rsidRDefault="002B181D" w:rsidP="002B181D">
            <w:r w:rsidRPr="001A53CF">
              <w:t xml:space="preserve">Inadequate disclosure </w:t>
            </w:r>
            <w:r w:rsidRPr="001A53CF">
              <w:lastRenderedPageBreak/>
              <w:t>controls</w:t>
            </w:r>
          </w:p>
        </w:tc>
        <w:tc>
          <w:tcPr>
            <w:tcW w:w="3161" w:type="dxa"/>
          </w:tcPr>
          <w:p w:rsidR="002B181D" w:rsidRPr="001A53CF" w:rsidRDefault="002B181D" w:rsidP="002B181D">
            <w:pPr>
              <w:pStyle w:val="ListParagraph"/>
              <w:numPr>
                <w:ilvl w:val="0"/>
                <w:numId w:val="3"/>
              </w:numPr>
              <w:ind w:left="222" w:hanging="222"/>
            </w:pPr>
            <w:r w:rsidRPr="001A53CF">
              <w:lastRenderedPageBreak/>
              <w:t xml:space="preserve">Limit access to only </w:t>
            </w:r>
            <w:r w:rsidRPr="001A53CF">
              <w:lastRenderedPageBreak/>
              <w:t xml:space="preserve">authorised Kent Police researcher for specific purpose to developing risk profiling tool </w:t>
            </w:r>
          </w:p>
        </w:tc>
        <w:tc>
          <w:tcPr>
            <w:tcW w:w="3162" w:type="dxa"/>
          </w:tcPr>
          <w:p w:rsidR="002B181D" w:rsidRPr="001A53CF" w:rsidRDefault="002B181D" w:rsidP="002B181D">
            <w:r w:rsidRPr="001A53CF">
              <w:lastRenderedPageBreak/>
              <w:t xml:space="preserve">NHS Trusts’ </w:t>
            </w:r>
            <w:proofErr w:type="spellStart"/>
            <w:r w:rsidRPr="001A53CF">
              <w:t>Caldicott</w:t>
            </w:r>
            <w:proofErr w:type="spellEnd"/>
            <w:r w:rsidRPr="001A53CF">
              <w:t xml:space="preserve"> </w:t>
            </w:r>
            <w:r w:rsidRPr="001A53CF">
              <w:lastRenderedPageBreak/>
              <w:t>Guardians / IG Leads</w:t>
            </w:r>
            <w:r w:rsidR="00F65256" w:rsidRPr="001A53CF">
              <w:t>/DPO</w:t>
            </w:r>
            <w:r w:rsidRPr="001A53CF">
              <w:t xml:space="preserve"> + Kent Police Information Assurance Board</w:t>
            </w:r>
          </w:p>
        </w:tc>
      </w:tr>
      <w:tr w:rsidR="001A53CF" w:rsidRPr="001A53CF" w:rsidTr="002B181D">
        <w:tc>
          <w:tcPr>
            <w:tcW w:w="2919" w:type="dxa"/>
          </w:tcPr>
          <w:p w:rsidR="002B181D" w:rsidRPr="001A53CF" w:rsidRDefault="002B181D" w:rsidP="002B181D">
            <w:r w:rsidRPr="001A53CF">
              <w:lastRenderedPageBreak/>
              <w:t>Using information for too long</w:t>
            </w:r>
          </w:p>
        </w:tc>
        <w:tc>
          <w:tcPr>
            <w:tcW w:w="3161" w:type="dxa"/>
          </w:tcPr>
          <w:p w:rsidR="002B181D" w:rsidRPr="001A53CF" w:rsidRDefault="002B181D" w:rsidP="002B181D">
            <w:pPr>
              <w:pStyle w:val="ListParagraph"/>
              <w:numPr>
                <w:ilvl w:val="0"/>
                <w:numId w:val="3"/>
              </w:numPr>
              <w:ind w:left="222" w:hanging="222"/>
            </w:pPr>
            <w:r w:rsidRPr="001A53CF">
              <w:t>Agree retention policy</w:t>
            </w:r>
          </w:p>
        </w:tc>
        <w:tc>
          <w:tcPr>
            <w:tcW w:w="3162" w:type="dxa"/>
          </w:tcPr>
          <w:p w:rsidR="002B181D" w:rsidRPr="001A53CF" w:rsidRDefault="002B181D" w:rsidP="002B181D">
            <w:r w:rsidRPr="001A53CF">
              <w:t xml:space="preserve">NHS Trusts’ </w:t>
            </w:r>
            <w:proofErr w:type="spellStart"/>
            <w:r w:rsidRPr="001A53CF">
              <w:t>Caldicott</w:t>
            </w:r>
            <w:proofErr w:type="spellEnd"/>
            <w:r w:rsidRPr="001A53CF">
              <w:t xml:space="preserve"> Guardians / IG Leads</w:t>
            </w:r>
            <w:r w:rsidR="00F65256" w:rsidRPr="001A53CF">
              <w:t>/DPO</w:t>
            </w:r>
            <w:r w:rsidRPr="001A53CF">
              <w:t xml:space="preserve"> + Kent Police Information Assurance Board</w:t>
            </w:r>
          </w:p>
        </w:tc>
      </w:tr>
      <w:tr w:rsidR="001A53CF" w:rsidRPr="001A53CF" w:rsidTr="002B181D">
        <w:tc>
          <w:tcPr>
            <w:tcW w:w="2919" w:type="dxa"/>
          </w:tcPr>
          <w:p w:rsidR="002B181D" w:rsidRPr="001A53CF" w:rsidRDefault="002B181D" w:rsidP="002B181D">
            <w:r w:rsidRPr="001A53CF">
              <w:t>Vulnerable people’s concern of identification</w:t>
            </w:r>
          </w:p>
          <w:p w:rsidR="002B181D" w:rsidRPr="001A53CF" w:rsidRDefault="002B181D" w:rsidP="002B181D"/>
          <w:p w:rsidR="002B181D" w:rsidRPr="001A53CF" w:rsidRDefault="002B181D" w:rsidP="002B181D">
            <w:r w:rsidRPr="001A53CF">
              <w:t>Re-identification causing harm and distress</w:t>
            </w:r>
          </w:p>
        </w:tc>
        <w:tc>
          <w:tcPr>
            <w:tcW w:w="3161" w:type="dxa"/>
          </w:tcPr>
          <w:p w:rsidR="002B181D" w:rsidRPr="001A53CF" w:rsidRDefault="002B181D" w:rsidP="002B181D">
            <w:pPr>
              <w:pStyle w:val="ListParagraph"/>
              <w:numPr>
                <w:ilvl w:val="0"/>
                <w:numId w:val="3"/>
              </w:numPr>
              <w:ind w:left="222" w:hanging="222"/>
            </w:pPr>
            <w:r w:rsidRPr="001A53CF">
              <w:t>Complete re-identification risk assessment</w:t>
            </w:r>
          </w:p>
          <w:p w:rsidR="002B181D" w:rsidRPr="001A53CF" w:rsidRDefault="002B181D" w:rsidP="002B181D">
            <w:pPr>
              <w:pStyle w:val="ListParagraph"/>
              <w:numPr>
                <w:ilvl w:val="0"/>
                <w:numId w:val="3"/>
              </w:numPr>
              <w:ind w:left="222" w:hanging="222"/>
            </w:pPr>
            <w:r w:rsidRPr="001A53CF">
              <w:t>Ensure objections to data sharing are honoured or comply with national policy</w:t>
            </w:r>
          </w:p>
        </w:tc>
        <w:tc>
          <w:tcPr>
            <w:tcW w:w="3162" w:type="dxa"/>
          </w:tcPr>
          <w:p w:rsidR="002B181D" w:rsidRPr="001A53CF" w:rsidRDefault="002B181D" w:rsidP="002B181D">
            <w:r w:rsidRPr="001A53CF">
              <w:t xml:space="preserve">NHS Trusts’ </w:t>
            </w:r>
            <w:proofErr w:type="spellStart"/>
            <w:r w:rsidRPr="001A53CF">
              <w:t>Caldicott</w:t>
            </w:r>
            <w:proofErr w:type="spellEnd"/>
            <w:r w:rsidRPr="001A53CF">
              <w:t xml:space="preserve"> Guardians / </w:t>
            </w:r>
            <w:r w:rsidR="00F65256" w:rsidRPr="001A53CF">
              <w:t>IG Leads/DPO</w:t>
            </w:r>
            <w:r w:rsidRPr="001A53CF">
              <w:t xml:space="preserve"> + Kent Police Information Assurance Board</w:t>
            </w:r>
          </w:p>
        </w:tc>
      </w:tr>
      <w:tr w:rsidR="001A53CF" w:rsidRPr="001A53CF" w:rsidTr="002B181D">
        <w:tc>
          <w:tcPr>
            <w:tcW w:w="2919" w:type="dxa"/>
          </w:tcPr>
          <w:p w:rsidR="002B181D" w:rsidRPr="001A53CF" w:rsidRDefault="002B181D" w:rsidP="002B181D">
            <w:r w:rsidRPr="001A53CF">
              <w:t>Information which is collected and stored unnecessarily, or is not properly managed</w:t>
            </w:r>
          </w:p>
        </w:tc>
        <w:tc>
          <w:tcPr>
            <w:tcW w:w="3161" w:type="dxa"/>
          </w:tcPr>
          <w:p w:rsidR="002B181D" w:rsidRPr="001A53CF" w:rsidRDefault="002B181D" w:rsidP="002B181D">
            <w:pPr>
              <w:pStyle w:val="ListParagraph"/>
              <w:numPr>
                <w:ilvl w:val="0"/>
                <w:numId w:val="3"/>
              </w:numPr>
              <w:ind w:left="222" w:hanging="222"/>
            </w:pPr>
            <w:r w:rsidRPr="001A53CF">
              <w:t>Periodic data item review with recommendations for deletion</w:t>
            </w:r>
          </w:p>
          <w:p w:rsidR="002B181D" w:rsidRPr="001A53CF" w:rsidRDefault="002B181D" w:rsidP="00F65256">
            <w:pPr>
              <w:pStyle w:val="ListParagraph"/>
              <w:ind w:left="222"/>
            </w:pPr>
          </w:p>
        </w:tc>
        <w:tc>
          <w:tcPr>
            <w:tcW w:w="3162" w:type="dxa"/>
          </w:tcPr>
          <w:p w:rsidR="002B181D" w:rsidRPr="001A53CF" w:rsidRDefault="002B181D" w:rsidP="002B181D">
            <w:r w:rsidRPr="001A53CF">
              <w:t xml:space="preserve">NHS Trusts’ </w:t>
            </w:r>
            <w:proofErr w:type="spellStart"/>
            <w:r w:rsidRPr="001A53CF">
              <w:t>Caldicott</w:t>
            </w:r>
            <w:proofErr w:type="spellEnd"/>
            <w:r w:rsidRPr="001A53CF">
              <w:t xml:space="preserve"> Guardians / </w:t>
            </w:r>
            <w:r w:rsidR="00F65256" w:rsidRPr="001A53CF">
              <w:t>IG Leads/DPO</w:t>
            </w:r>
            <w:r w:rsidRPr="001A53CF">
              <w:t xml:space="preserve"> + Kent Police Information Assurance Board</w:t>
            </w:r>
          </w:p>
        </w:tc>
      </w:tr>
    </w:tbl>
    <w:p w:rsidR="00BD7502" w:rsidRDefault="00BD7502"/>
    <w:tbl>
      <w:tblPr>
        <w:tblStyle w:val="TableGrid"/>
        <w:tblW w:w="0" w:type="auto"/>
        <w:tblLook w:val="04A0" w:firstRow="1" w:lastRow="0" w:firstColumn="1" w:lastColumn="0" w:noHBand="0" w:noVBand="1"/>
      </w:tblPr>
      <w:tblGrid>
        <w:gridCol w:w="2919"/>
        <w:gridCol w:w="3161"/>
        <w:gridCol w:w="3162"/>
      </w:tblGrid>
      <w:tr w:rsidR="001A53CF" w:rsidRPr="001A53CF" w:rsidTr="002B181D">
        <w:tc>
          <w:tcPr>
            <w:tcW w:w="2919" w:type="dxa"/>
          </w:tcPr>
          <w:p w:rsidR="002B181D" w:rsidRPr="001A53CF" w:rsidRDefault="002B181D" w:rsidP="002B181D">
            <w:r w:rsidRPr="001A53CF">
              <w:t>Re-identification causing harm and distress</w:t>
            </w:r>
          </w:p>
        </w:tc>
        <w:tc>
          <w:tcPr>
            <w:tcW w:w="3161" w:type="dxa"/>
          </w:tcPr>
          <w:p w:rsidR="002B181D" w:rsidRPr="001A53CF" w:rsidRDefault="002B181D" w:rsidP="002B181D">
            <w:pPr>
              <w:pStyle w:val="ListParagraph"/>
              <w:numPr>
                <w:ilvl w:val="0"/>
                <w:numId w:val="3"/>
              </w:numPr>
              <w:ind w:left="222" w:hanging="222"/>
            </w:pPr>
            <w:r w:rsidRPr="001A53CF">
              <w:t>Audit organisational controls (Kent Police)</w:t>
            </w:r>
          </w:p>
          <w:p w:rsidR="002B181D" w:rsidRPr="001A53CF" w:rsidRDefault="002B181D" w:rsidP="002B181D">
            <w:pPr>
              <w:pStyle w:val="ListParagraph"/>
              <w:numPr>
                <w:ilvl w:val="0"/>
                <w:numId w:val="3"/>
              </w:numPr>
              <w:ind w:left="222" w:hanging="222"/>
            </w:pPr>
            <w:r w:rsidRPr="001A53CF">
              <w:t>Agree accidental re-identification reporting method</w:t>
            </w:r>
          </w:p>
        </w:tc>
        <w:tc>
          <w:tcPr>
            <w:tcW w:w="3162" w:type="dxa"/>
          </w:tcPr>
          <w:p w:rsidR="002B181D" w:rsidRPr="001A53CF" w:rsidRDefault="002B181D" w:rsidP="002B181D">
            <w:r w:rsidRPr="001A53CF">
              <w:t xml:space="preserve">NHS Trusts’ </w:t>
            </w:r>
            <w:proofErr w:type="spellStart"/>
            <w:r w:rsidRPr="001A53CF">
              <w:t>Caldicott</w:t>
            </w:r>
            <w:proofErr w:type="spellEnd"/>
            <w:r w:rsidRPr="001A53CF">
              <w:t xml:space="preserve"> Guardians / </w:t>
            </w:r>
            <w:r w:rsidR="00F65256" w:rsidRPr="001A53CF">
              <w:t>IG Leads/DPO</w:t>
            </w:r>
            <w:r w:rsidRPr="001A53CF">
              <w:t xml:space="preserve"> + Kent Police Information Assurance Board</w:t>
            </w:r>
          </w:p>
        </w:tc>
      </w:tr>
      <w:tr w:rsidR="001A53CF" w:rsidRPr="001A53CF" w:rsidTr="002B181D">
        <w:tc>
          <w:tcPr>
            <w:tcW w:w="2919" w:type="dxa"/>
          </w:tcPr>
          <w:p w:rsidR="002B181D" w:rsidRPr="001A53CF" w:rsidRDefault="002B181D" w:rsidP="002B181D">
            <w:r w:rsidRPr="001A53CF">
              <w:t>Poor analytical output</w:t>
            </w:r>
          </w:p>
        </w:tc>
        <w:tc>
          <w:tcPr>
            <w:tcW w:w="3161" w:type="dxa"/>
          </w:tcPr>
          <w:p w:rsidR="002B181D" w:rsidRPr="001A53CF" w:rsidRDefault="002B181D" w:rsidP="002B181D">
            <w:pPr>
              <w:pStyle w:val="ListParagraph"/>
              <w:numPr>
                <w:ilvl w:val="0"/>
                <w:numId w:val="3"/>
              </w:numPr>
              <w:ind w:left="222" w:hanging="222"/>
            </w:pPr>
            <w:r w:rsidRPr="001A53CF">
              <w:t>Complete documentation</w:t>
            </w:r>
          </w:p>
          <w:p w:rsidR="002B181D" w:rsidRPr="001A53CF" w:rsidRDefault="002B181D" w:rsidP="002B181D">
            <w:pPr>
              <w:pStyle w:val="ListParagraph"/>
              <w:numPr>
                <w:ilvl w:val="0"/>
                <w:numId w:val="3"/>
              </w:numPr>
              <w:ind w:left="222" w:hanging="222"/>
            </w:pPr>
            <w:r w:rsidRPr="001A53CF">
              <w:t>Maintain documentation</w:t>
            </w:r>
          </w:p>
        </w:tc>
        <w:tc>
          <w:tcPr>
            <w:tcW w:w="3162" w:type="dxa"/>
          </w:tcPr>
          <w:p w:rsidR="002B181D" w:rsidRPr="001A53CF" w:rsidRDefault="002B181D" w:rsidP="002B181D">
            <w:r w:rsidRPr="001A53CF">
              <w:t xml:space="preserve">NHS Trusts’ </w:t>
            </w:r>
            <w:proofErr w:type="spellStart"/>
            <w:r w:rsidRPr="001A53CF">
              <w:t>Caldicott</w:t>
            </w:r>
            <w:proofErr w:type="spellEnd"/>
            <w:r w:rsidRPr="001A53CF">
              <w:t xml:space="preserve"> Guardians / </w:t>
            </w:r>
            <w:r w:rsidR="00F65256" w:rsidRPr="001A53CF">
              <w:t>IG Leads/DPO</w:t>
            </w:r>
            <w:r w:rsidRPr="001A53CF">
              <w:t xml:space="preserve"> + Kent Police Information Assurance Board</w:t>
            </w:r>
          </w:p>
        </w:tc>
      </w:tr>
    </w:tbl>
    <w:p w:rsidR="00535BFF" w:rsidRDefault="00535BFF" w:rsidP="00BC53F4">
      <w:pPr>
        <w:spacing w:line="240" w:lineRule="auto"/>
      </w:pPr>
    </w:p>
    <w:tbl>
      <w:tblPr>
        <w:tblStyle w:val="TableGrid"/>
        <w:tblW w:w="0" w:type="auto"/>
        <w:tblLook w:val="04A0" w:firstRow="1" w:lastRow="0" w:firstColumn="1" w:lastColumn="0" w:noHBand="0" w:noVBand="1"/>
      </w:tblPr>
      <w:tblGrid>
        <w:gridCol w:w="3339"/>
        <w:gridCol w:w="2868"/>
        <w:gridCol w:w="3035"/>
      </w:tblGrid>
      <w:tr w:rsidR="001A3BFA" w:rsidRPr="00203989" w:rsidTr="003045E4">
        <w:tc>
          <w:tcPr>
            <w:tcW w:w="9242" w:type="dxa"/>
            <w:gridSpan w:val="3"/>
          </w:tcPr>
          <w:p w:rsidR="001A3BFA" w:rsidRPr="00203989" w:rsidRDefault="001A3BFA" w:rsidP="002D3416">
            <w:pPr>
              <w:pStyle w:val="Heading2"/>
              <w:outlineLvl w:val="1"/>
            </w:pPr>
            <w:r w:rsidRPr="00203989">
              <w:t xml:space="preserve">Step six: Integrate the </w:t>
            </w:r>
            <w:r w:rsidR="001A53CF">
              <w:t>D</w:t>
            </w:r>
            <w:r w:rsidRPr="00203989">
              <w:t xml:space="preserve">PIA outcomes back into the project plan </w:t>
            </w:r>
          </w:p>
        </w:tc>
      </w:tr>
      <w:tr w:rsidR="001A3BFA" w:rsidRPr="00203989" w:rsidTr="003045E4">
        <w:tc>
          <w:tcPr>
            <w:tcW w:w="9242" w:type="dxa"/>
            <w:gridSpan w:val="3"/>
          </w:tcPr>
          <w:p w:rsidR="001A3BFA" w:rsidRPr="00203989" w:rsidRDefault="001A3BFA" w:rsidP="002D3416">
            <w:pPr>
              <w:pStyle w:val="ListParagraph"/>
              <w:numPr>
                <w:ilvl w:val="0"/>
                <w:numId w:val="3"/>
              </w:numPr>
              <w:ind w:left="284" w:hanging="284"/>
            </w:pPr>
            <w:r w:rsidRPr="00203989">
              <w:t>Who is responsible for integrating the PIA outcomes back into the project plan and updating any project management paperwork? Who is responsible for implementing the solutions that have been approved? Who is the contact for any privacy concerns which may arise in the future?</w:t>
            </w:r>
          </w:p>
        </w:tc>
      </w:tr>
      <w:tr w:rsidR="001A3BFA" w:rsidTr="003045E4">
        <w:tc>
          <w:tcPr>
            <w:tcW w:w="3339" w:type="dxa"/>
          </w:tcPr>
          <w:p w:rsidR="001A3BFA" w:rsidRDefault="001A3BFA" w:rsidP="002D3416">
            <w:r>
              <w:t>Action to be taken</w:t>
            </w:r>
          </w:p>
        </w:tc>
        <w:tc>
          <w:tcPr>
            <w:tcW w:w="2868" w:type="dxa"/>
          </w:tcPr>
          <w:p w:rsidR="001A3BFA" w:rsidRDefault="001A3BFA" w:rsidP="002D3416">
            <w:r>
              <w:t>Date for completion of actions</w:t>
            </w:r>
          </w:p>
        </w:tc>
        <w:tc>
          <w:tcPr>
            <w:tcW w:w="3035" w:type="dxa"/>
          </w:tcPr>
          <w:p w:rsidR="001A3BFA" w:rsidRDefault="001A3BFA" w:rsidP="002D3416">
            <w:r>
              <w:t>Responsibility for action</w:t>
            </w:r>
          </w:p>
          <w:p w:rsidR="001A3BFA" w:rsidRDefault="001A3BFA" w:rsidP="002D3416"/>
        </w:tc>
      </w:tr>
      <w:tr w:rsidR="001A53CF" w:rsidRPr="001A53CF" w:rsidTr="003045E4">
        <w:tc>
          <w:tcPr>
            <w:tcW w:w="3339" w:type="dxa"/>
          </w:tcPr>
          <w:p w:rsidR="002B181D" w:rsidRPr="001A53CF" w:rsidRDefault="002B181D" w:rsidP="002B181D">
            <w:r w:rsidRPr="001A53CF">
              <w:t>Review governance arrangements</w:t>
            </w:r>
          </w:p>
        </w:tc>
        <w:tc>
          <w:tcPr>
            <w:tcW w:w="2868" w:type="dxa"/>
            <w:vMerge w:val="restart"/>
          </w:tcPr>
          <w:p w:rsidR="002B181D" w:rsidRPr="001A53CF" w:rsidRDefault="002B181D" w:rsidP="002B181D">
            <w:r w:rsidRPr="001A53CF">
              <w:t>July – September 2018</w:t>
            </w:r>
          </w:p>
        </w:tc>
        <w:tc>
          <w:tcPr>
            <w:tcW w:w="3035" w:type="dxa"/>
            <w:vMerge w:val="restart"/>
          </w:tcPr>
          <w:p w:rsidR="002B181D" w:rsidRPr="001A53CF" w:rsidRDefault="002B181D" w:rsidP="002B181D">
            <w:r w:rsidRPr="001A53CF">
              <w:t xml:space="preserve">Peter Gough &amp; Paul Bolton </w:t>
            </w:r>
            <w:proofErr w:type="spellStart"/>
            <w:r w:rsidRPr="001A53CF">
              <w:t>HISBi</w:t>
            </w:r>
            <w:proofErr w:type="spellEnd"/>
            <w:r w:rsidRPr="001A53CF">
              <w:t xml:space="preserve"> (MTW)</w:t>
            </w:r>
          </w:p>
          <w:p w:rsidR="002B181D" w:rsidRPr="001A53CF" w:rsidRDefault="002B181D" w:rsidP="002B181D"/>
          <w:p w:rsidR="002B181D" w:rsidRPr="001A53CF" w:rsidRDefault="002B181D" w:rsidP="002B181D">
            <w:r w:rsidRPr="001A53CF">
              <w:t>Abraham George</w:t>
            </w:r>
          </w:p>
          <w:p w:rsidR="002B181D" w:rsidRPr="001A53CF" w:rsidRDefault="002B181D" w:rsidP="002B181D">
            <w:r w:rsidRPr="001A53CF">
              <w:t>KCC PH</w:t>
            </w:r>
          </w:p>
          <w:p w:rsidR="002B181D" w:rsidRPr="001A53CF" w:rsidRDefault="002B181D" w:rsidP="002B181D"/>
          <w:p w:rsidR="002B181D" w:rsidRPr="001A53CF" w:rsidRDefault="002B181D" w:rsidP="002B181D">
            <w:r w:rsidRPr="001A53CF">
              <w:t>Richard Vickery Kent Police</w:t>
            </w:r>
          </w:p>
        </w:tc>
      </w:tr>
      <w:tr w:rsidR="001A53CF" w:rsidRPr="001A53CF" w:rsidTr="003045E4">
        <w:tc>
          <w:tcPr>
            <w:tcW w:w="3339" w:type="dxa"/>
          </w:tcPr>
          <w:p w:rsidR="002B181D" w:rsidRPr="001A53CF" w:rsidRDefault="002B181D" w:rsidP="002B181D">
            <w:r w:rsidRPr="001A53CF">
              <w:t xml:space="preserve">Implement access controls for home visit data </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Agree retention policy</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Agree policy for the management of rarely used data items</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Complete re-identification risk assessment</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 xml:space="preserve">Ensure objections to data sharing are honoured or </w:t>
            </w:r>
            <w:r w:rsidRPr="001A53CF">
              <w:lastRenderedPageBreak/>
              <w:t>comply with national policy</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lastRenderedPageBreak/>
              <w:t>Agree public consultation method</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Periodic data item review with recommendations for deletion</w:t>
            </w:r>
          </w:p>
          <w:p w:rsidR="002B181D" w:rsidRPr="001A53CF" w:rsidRDefault="002B181D" w:rsidP="002B181D"/>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‘Rarely used’ data access restriction/retention policy</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Audit organisational controls</w:t>
            </w:r>
          </w:p>
          <w:p w:rsidR="002B181D" w:rsidRPr="001A53CF" w:rsidRDefault="002B181D" w:rsidP="002B181D"/>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Agree accidental re-identification reporting method</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Complete documentation</w:t>
            </w:r>
          </w:p>
        </w:tc>
        <w:tc>
          <w:tcPr>
            <w:tcW w:w="2868" w:type="dxa"/>
            <w:vMerge/>
          </w:tcPr>
          <w:p w:rsidR="002B181D" w:rsidRPr="001A53CF" w:rsidRDefault="002B181D" w:rsidP="002B181D"/>
        </w:tc>
        <w:tc>
          <w:tcPr>
            <w:tcW w:w="3035" w:type="dxa"/>
            <w:vMerge/>
          </w:tcPr>
          <w:p w:rsidR="002B181D" w:rsidRPr="001A53CF" w:rsidRDefault="002B181D" w:rsidP="002B181D"/>
        </w:tc>
      </w:tr>
      <w:tr w:rsidR="001A53CF" w:rsidRPr="001A53CF" w:rsidTr="003045E4">
        <w:tc>
          <w:tcPr>
            <w:tcW w:w="3339" w:type="dxa"/>
          </w:tcPr>
          <w:p w:rsidR="002B181D" w:rsidRPr="001A53CF" w:rsidRDefault="002B181D" w:rsidP="002B181D">
            <w:r w:rsidRPr="001A53CF">
              <w:t>Maintain documentation</w:t>
            </w:r>
          </w:p>
        </w:tc>
        <w:tc>
          <w:tcPr>
            <w:tcW w:w="2868" w:type="dxa"/>
            <w:vMerge/>
          </w:tcPr>
          <w:p w:rsidR="002B181D" w:rsidRPr="001A53CF" w:rsidRDefault="002B181D" w:rsidP="002B181D"/>
        </w:tc>
        <w:tc>
          <w:tcPr>
            <w:tcW w:w="3035" w:type="dxa"/>
            <w:vMerge/>
          </w:tcPr>
          <w:p w:rsidR="002B181D" w:rsidRPr="001A53CF" w:rsidRDefault="002B181D" w:rsidP="002B181D"/>
        </w:tc>
      </w:tr>
    </w:tbl>
    <w:p w:rsidR="001A3BFA" w:rsidRDefault="001A3BFA" w:rsidP="00BC53F4">
      <w:pPr>
        <w:spacing w:line="240" w:lineRule="auto"/>
      </w:pPr>
    </w:p>
    <w:p w:rsidR="00535BFF" w:rsidRDefault="00535BFF" w:rsidP="00BC53F4">
      <w:pPr>
        <w:spacing w:line="240" w:lineRule="auto"/>
      </w:pPr>
    </w:p>
    <w:p w:rsidR="00544E30" w:rsidRDefault="00544E30" w:rsidP="00BC53F4">
      <w:pPr>
        <w:spacing w:line="240" w:lineRule="auto"/>
      </w:pPr>
      <w:r>
        <w:t>Contact point</w:t>
      </w:r>
      <w:r w:rsidR="00BD7502">
        <w:t>s</w:t>
      </w:r>
      <w:r>
        <w:t xml:space="preserve"> for future privacy concerns</w:t>
      </w:r>
    </w:p>
    <w:p w:rsidR="0065556A" w:rsidRDefault="00BD7502" w:rsidP="0065556A">
      <w:r>
        <w:t xml:space="preserve">Kevin Rowan, Trust Secretary, Maidstone and Tunbridge Wells NHS Trust, Tel: 01622 228698, Email: </w:t>
      </w:r>
      <w:hyperlink r:id="rId10" w:history="1">
        <w:r w:rsidRPr="00AD7592">
          <w:rPr>
            <w:rStyle w:val="Hyperlink"/>
          </w:rPr>
          <w:t>Kevinrowan@nhs.net</w:t>
        </w:r>
      </w:hyperlink>
    </w:p>
    <w:p w:rsidR="00BD7502" w:rsidRDefault="00C21968" w:rsidP="0065556A">
      <w:r>
        <w:t>Or</w:t>
      </w:r>
    </w:p>
    <w:p w:rsidR="00C21968" w:rsidRDefault="00C21968" w:rsidP="0065556A">
      <w:proofErr w:type="gramStart"/>
      <w:r w:rsidRPr="00C67807">
        <w:t>Data Protection Officer, Information Security and Governance Department, Kent Police Headquarters, Sutton Road, Maidstone, ME15 9BZ.</w:t>
      </w:r>
      <w:proofErr w:type="gramEnd"/>
    </w:p>
    <w:p w:rsidR="00BD7502" w:rsidRDefault="00BD7502" w:rsidP="0065556A"/>
    <w:p w:rsidR="002F4F66" w:rsidRDefault="002F4F66" w:rsidP="00BC53F4">
      <w:pPr>
        <w:spacing w:line="240" w:lineRule="auto"/>
      </w:pPr>
    </w:p>
    <w:p w:rsidR="002F4F66" w:rsidRDefault="002F4F66" w:rsidP="00BC53F4">
      <w:pPr>
        <w:spacing w:line="240" w:lineRule="auto"/>
        <w:rPr>
          <w:rFonts w:cs="Arial"/>
          <w:szCs w:val="24"/>
        </w:rPr>
        <w:sectPr w:rsidR="002F4F66" w:rsidSect="00535BFF">
          <w:footerReference w:type="default" r:id="rId11"/>
          <w:pgSz w:w="11906" w:h="16838"/>
          <w:pgMar w:top="993" w:right="1440" w:bottom="1440" w:left="1440" w:header="708" w:footer="708" w:gutter="0"/>
          <w:cols w:space="708"/>
          <w:docGrid w:linePitch="360"/>
        </w:sectPr>
      </w:pPr>
    </w:p>
    <w:p w:rsidR="002F4F66" w:rsidRPr="002B181D" w:rsidRDefault="002F4F66" w:rsidP="00BC53F4">
      <w:pPr>
        <w:spacing w:line="240" w:lineRule="auto"/>
        <w:rPr>
          <w:rFonts w:cs="Arial"/>
          <w:color w:val="FF0000"/>
          <w:szCs w:val="24"/>
        </w:rPr>
      </w:pPr>
      <w:r w:rsidRPr="002B181D">
        <w:rPr>
          <w:rFonts w:cs="Arial"/>
          <w:color w:val="FF0000"/>
          <w:szCs w:val="24"/>
        </w:rPr>
        <w:lastRenderedPageBreak/>
        <w:t>Annex A – Data flow diagram</w:t>
      </w:r>
    </w:p>
    <w:p w:rsidR="004C0694" w:rsidRPr="00BC53F4" w:rsidRDefault="009450C3" w:rsidP="00BC53F4">
      <w:pPr>
        <w:spacing w:line="240" w:lineRule="auto"/>
        <w:rPr>
          <w:rFonts w:cs="Arial"/>
          <w:szCs w:val="24"/>
        </w:rPr>
      </w:pPr>
      <w:r w:rsidRPr="009450C3">
        <w:rPr>
          <w:rFonts w:cs="Arial"/>
          <w:noProof/>
          <w:szCs w:val="24"/>
          <w:lang w:eastAsia="en-GB"/>
        </w:rPr>
        <w:drawing>
          <wp:inline distT="0" distB="0" distL="0" distR="0" wp14:anchorId="0DCC9D0A" wp14:editId="7DB1516C">
            <wp:extent cx="8280400" cy="46577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82080" cy="4658670"/>
                    </a:xfrm>
                    <a:prstGeom prst="rect">
                      <a:avLst/>
                    </a:prstGeom>
                  </pic:spPr>
                </pic:pic>
              </a:graphicData>
            </a:graphic>
          </wp:inline>
        </w:drawing>
      </w:r>
    </w:p>
    <w:sectPr w:rsidR="004C0694" w:rsidRPr="00BC53F4" w:rsidSect="004C0694">
      <w:pgSz w:w="16838" w:h="11906" w:orient="landscape"/>
      <w:pgMar w:top="1440" w:right="99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EF" w:rsidRDefault="004130EF" w:rsidP="003045E4">
      <w:pPr>
        <w:spacing w:after="0" w:line="240" w:lineRule="auto"/>
      </w:pPr>
      <w:r>
        <w:separator/>
      </w:r>
    </w:p>
  </w:endnote>
  <w:endnote w:type="continuationSeparator" w:id="0">
    <w:p w:rsidR="004130EF" w:rsidRDefault="004130EF" w:rsidP="0030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304091"/>
      <w:docPartObj>
        <w:docPartGallery w:val="Page Numbers (Bottom of Page)"/>
        <w:docPartUnique/>
      </w:docPartObj>
    </w:sdtPr>
    <w:sdtEndPr>
      <w:rPr>
        <w:noProof/>
      </w:rPr>
    </w:sdtEndPr>
    <w:sdtContent>
      <w:p w:rsidR="003E0FF5" w:rsidRDefault="003E0FF5">
        <w:pPr>
          <w:pStyle w:val="Footer"/>
          <w:jc w:val="center"/>
        </w:pPr>
        <w:r>
          <w:fldChar w:fldCharType="begin"/>
        </w:r>
        <w:r>
          <w:instrText xml:space="preserve"> PAGE   \* MERGEFORMAT </w:instrText>
        </w:r>
        <w:r>
          <w:fldChar w:fldCharType="separate"/>
        </w:r>
        <w:r w:rsidR="006A549B">
          <w:rPr>
            <w:noProof/>
          </w:rPr>
          <w:t>1</w:t>
        </w:r>
        <w:r>
          <w:rPr>
            <w:noProof/>
          </w:rPr>
          <w:fldChar w:fldCharType="end"/>
        </w:r>
      </w:p>
    </w:sdtContent>
  </w:sdt>
  <w:p w:rsidR="003E0FF5" w:rsidRDefault="003E0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EF" w:rsidRDefault="004130EF" w:rsidP="003045E4">
      <w:pPr>
        <w:spacing w:after="0" w:line="240" w:lineRule="auto"/>
      </w:pPr>
      <w:r>
        <w:separator/>
      </w:r>
    </w:p>
  </w:footnote>
  <w:footnote w:type="continuationSeparator" w:id="0">
    <w:p w:rsidR="004130EF" w:rsidRDefault="004130EF" w:rsidP="00304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6F8B"/>
    <w:multiLevelType w:val="hybridMultilevel"/>
    <w:tmpl w:val="34840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E8321C"/>
    <w:multiLevelType w:val="hybridMultilevel"/>
    <w:tmpl w:val="D45452EE"/>
    <w:lvl w:ilvl="0" w:tplc="8340D51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557A26"/>
    <w:multiLevelType w:val="hybridMultilevel"/>
    <w:tmpl w:val="A86A55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64DC10D6"/>
    <w:multiLevelType w:val="hybridMultilevel"/>
    <w:tmpl w:val="0E38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D07714"/>
    <w:multiLevelType w:val="hybridMultilevel"/>
    <w:tmpl w:val="0F96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642592"/>
    <w:multiLevelType w:val="hybridMultilevel"/>
    <w:tmpl w:val="EA1A762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30"/>
    <w:rsid w:val="0002201B"/>
    <w:rsid w:val="00045D4B"/>
    <w:rsid w:val="000C1842"/>
    <w:rsid w:val="00107FCC"/>
    <w:rsid w:val="0014582B"/>
    <w:rsid w:val="001A3BFA"/>
    <w:rsid w:val="001A53CF"/>
    <w:rsid w:val="001C46F6"/>
    <w:rsid w:val="001C582F"/>
    <w:rsid w:val="00200581"/>
    <w:rsid w:val="00203989"/>
    <w:rsid w:val="0025013E"/>
    <w:rsid w:val="0027762F"/>
    <w:rsid w:val="002B181D"/>
    <w:rsid w:val="002B3949"/>
    <w:rsid w:val="002B4B47"/>
    <w:rsid w:val="002C7246"/>
    <w:rsid w:val="002D3416"/>
    <w:rsid w:val="002D4A30"/>
    <w:rsid w:val="002F4F66"/>
    <w:rsid w:val="003045E4"/>
    <w:rsid w:val="00306BBB"/>
    <w:rsid w:val="0032127B"/>
    <w:rsid w:val="00341648"/>
    <w:rsid w:val="003726A1"/>
    <w:rsid w:val="00377E02"/>
    <w:rsid w:val="003C30A4"/>
    <w:rsid w:val="003D0EAB"/>
    <w:rsid w:val="003E0FF5"/>
    <w:rsid w:val="003E18AA"/>
    <w:rsid w:val="003E292F"/>
    <w:rsid w:val="00400D2C"/>
    <w:rsid w:val="004130EF"/>
    <w:rsid w:val="00452996"/>
    <w:rsid w:val="00461E78"/>
    <w:rsid w:val="0046359A"/>
    <w:rsid w:val="00466FD6"/>
    <w:rsid w:val="00495EBC"/>
    <w:rsid w:val="004B0C3C"/>
    <w:rsid w:val="004C0694"/>
    <w:rsid w:val="004E0226"/>
    <w:rsid w:val="00535BFF"/>
    <w:rsid w:val="00544E30"/>
    <w:rsid w:val="0056030C"/>
    <w:rsid w:val="00583F48"/>
    <w:rsid w:val="005A259B"/>
    <w:rsid w:val="005E08E2"/>
    <w:rsid w:val="006243E3"/>
    <w:rsid w:val="00624B42"/>
    <w:rsid w:val="00641825"/>
    <w:rsid w:val="006508E5"/>
    <w:rsid w:val="0065556A"/>
    <w:rsid w:val="0069290B"/>
    <w:rsid w:val="006A549B"/>
    <w:rsid w:val="006B267D"/>
    <w:rsid w:val="007006FE"/>
    <w:rsid w:val="00710E9D"/>
    <w:rsid w:val="00711706"/>
    <w:rsid w:val="007510C8"/>
    <w:rsid w:val="007707B9"/>
    <w:rsid w:val="00791846"/>
    <w:rsid w:val="007950A0"/>
    <w:rsid w:val="00795CE6"/>
    <w:rsid w:val="007A70F4"/>
    <w:rsid w:val="007B6D28"/>
    <w:rsid w:val="007C47CF"/>
    <w:rsid w:val="00821D73"/>
    <w:rsid w:val="00837565"/>
    <w:rsid w:val="00881335"/>
    <w:rsid w:val="009450C3"/>
    <w:rsid w:val="009502D6"/>
    <w:rsid w:val="00972CFE"/>
    <w:rsid w:val="00976CCF"/>
    <w:rsid w:val="009F5747"/>
    <w:rsid w:val="00A27DD4"/>
    <w:rsid w:val="00A5198C"/>
    <w:rsid w:val="00A6793F"/>
    <w:rsid w:val="00A8044D"/>
    <w:rsid w:val="00AF0117"/>
    <w:rsid w:val="00B26157"/>
    <w:rsid w:val="00B51E1D"/>
    <w:rsid w:val="00B646FE"/>
    <w:rsid w:val="00B71F45"/>
    <w:rsid w:val="00B72281"/>
    <w:rsid w:val="00B827C5"/>
    <w:rsid w:val="00BC31E0"/>
    <w:rsid w:val="00BC53F4"/>
    <w:rsid w:val="00BD7502"/>
    <w:rsid w:val="00BE153F"/>
    <w:rsid w:val="00C066A3"/>
    <w:rsid w:val="00C21968"/>
    <w:rsid w:val="00C34BE3"/>
    <w:rsid w:val="00C45F26"/>
    <w:rsid w:val="00C52F87"/>
    <w:rsid w:val="00C61CBC"/>
    <w:rsid w:val="00C67807"/>
    <w:rsid w:val="00D2191E"/>
    <w:rsid w:val="00D24BE3"/>
    <w:rsid w:val="00D45F25"/>
    <w:rsid w:val="00D639A8"/>
    <w:rsid w:val="00D63ACB"/>
    <w:rsid w:val="00D87AF6"/>
    <w:rsid w:val="00DA3FE8"/>
    <w:rsid w:val="00DB2DD6"/>
    <w:rsid w:val="00DD266B"/>
    <w:rsid w:val="00DE2F89"/>
    <w:rsid w:val="00DE465F"/>
    <w:rsid w:val="00E000B1"/>
    <w:rsid w:val="00E654D5"/>
    <w:rsid w:val="00E97224"/>
    <w:rsid w:val="00EA1559"/>
    <w:rsid w:val="00F07A5F"/>
    <w:rsid w:val="00F20D3A"/>
    <w:rsid w:val="00F4116D"/>
    <w:rsid w:val="00F4121E"/>
    <w:rsid w:val="00F65256"/>
    <w:rsid w:val="00F84083"/>
    <w:rsid w:val="00FC0F88"/>
    <w:rsid w:val="00FD7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25"/>
    <w:rPr>
      <w:rFonts w:ascii="Arial" w:hAnsi="Arial"/>
      <w:sz w:val="24"/>
    </w:rPr>
  </w:style>
  <w:style w:type="paragraph" w:styleId="Heading1">
    <w:name w:val="heading 1"/>
    <w:basedOn w:val="Normal"/>
    <w:next w:val="Normal"/>
    <w:link w:val="Heading1Char"/>
    <w:uiPriority w:val="9"/>
    <w:qFormat/>
    <w:rsid w:val="00641825"/>
    <w:pPr>
      <w:keepNext/>
      <w:keepLines/>
      <w:spacing w:before="24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1825"/>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25"/>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1825"/>
    <w:rPr>
      <w:rFonts w:ascii="Arial" w:eastAsiaTheme="majorEastAsia" w:hAnsi="Arial" w:cstheme="majorBidi"/>
      <w:b/>
      <w:bCs/>
      <w:color w:val="4F81BD" w:themeColor="accent1"/>
      <w:sz w:val="26"/>
      <w:szCs w:val="26"/>
    </w:rPr>
  </w:style>
  <w:style w:type="table" w:styleId="TableGrid">
    <w:name w:val="Table Grid"/>
    <w:basedOn w:val="TableNormal"/>
    <w:uiPriority w:val="59"/>
    <w:rsid w:val="0053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6A3"/>
    <w:pPr>
      <w:ind w:left="720"/>
      <w:contextualSpacing/>
    </w:pPr>
  </w:style>
  <w:style w:type="character" w:styleId="Hyperlink">
    <w:name w:val="Hyperlink"/>
    <w:basedOn w:val="DefaultParagraphFont"/>
    <w:uiPriority w:val="99"/>
    <w:unhideWhenUsed/>
    <w:rsid w:val="00D87AF6"/>
    <w:rPr>
      <w:color w:val="0000FF" w:themeColor="hyperlink"/>
      <w:u w:val="single"/>
    </w:rPr>
  </w:style>
  <w:style w:type="paragraph" w:styleId="Header">
    <w:name w:val="header"/>
    <w:basedOn w:val="Normal"/>
    <w:link w:val="HeaderChar"/>
    <w:uiPriority w:val="99"/>
    <w:unhideWhenUsed/>
    <w:rsid w:val="0030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5E4"/>
    <w:rPr>
      <w:rFonts w:ascii="Arial" w:hAnsi="Arial"/>
      <w:sz w:val="24"/>
    </w:rPr>
  </w:style>
  <w:style w:type="paragraph" w:styleId="Footer">
    <w:name w:val="footer"/>
    <w:basedOn w:val="Normal"/>
    <w:link w:val="FooterChar"/>
    <w:uiPriority w:val="99"/>
    <w:unhideWhenUsed/>
    <w:rsid w:val="0030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5E4"/>
    <w:rPr>
      <w:rFonts w:ascii="Arial" w:hAnsi="Arial"/>
      <w:sz w:val="24"/>
    </w:rPr>
  </w:style>
  <w:style w:type="paragraph" w:styleId="BalloonText">
    <w:name w:val="Balloon Text"/>
    <w:basedOn w:val="Normal"/>
    <w:link w:val="BalloonTextChar"/>
    <w:uiPriority w:val="99"/>
    <w:semiHidden/>
    <w:unhideWhenUsed/>
    <w:rsid w:val="004C0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25"/>
    <w:rPr>
      <w:rFonts w:ascii="Arial" w:hAnsi="Arial"/>
      <w:sz w:val="24"/>
    </w:rPr>
  </w:style>
  <w:style w:type="paragraph" w:styleId="Heading1">
    <w:name w:val="heading 1"/>
    <w:basedOn w:val="Normal"/>
    <w:next w:val="Normal"/>
    <w:link w:val="Heading1Char"/>
    <w:uiPriority w:val="9"/>
    <w:qFormat/>
    <w:rsid w:val="00641825"/>
    <w:pPr>
      <w:keepNext/>
      <w:keepLines/>
      <w:spacing w:before="24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1825"/>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25"/>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1825"/>
    <w:rPr>
      <w:rFonts w:ascii="Arial" w:eastAsiaTheme="majorEastAsia" w:hAnsi="Arial" w:cstheme="majorBidi"/>
      <w:b/>
      <w:bCs/>
      <w:color w:val="4F81BD" w:themeColor="accent1"/>
      <w:sz w:val="26"/>
      <w:szCs w:val="26"/>
    </w:rPr>
  </w:style>
  <w:style w:type="table" w:styleId="TableGrid">
    <w:name w:val="Table Grid"/>
    <w:basedOn w:val="TableNormal"/>
    <w:uiPriority w:val="59"/>
    <w:rsid w:val="0053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6A3"/>
    <w:pPr>
      <w:ind w:left="720"/>
      <w:contextualSpacing/>
    </w:pPr>
  </w:style>
  <w:style w:type="character" w:styleId="Hyperlink">
    <w:name w:val="Hyperlink"/>
    <w:basedOn w:val="DefaultParagraphFont"/>
    <w:uiPriority w:val="99"/>
    <w:unhideWhenUsed/>
    <w:rsid w:val="00D87AF6"/>
    <w:rPr>
      <w:color w:val="0000FF" w:themeColor="hyperlink"/>
      <w:u w:val="single"/>
    </w:rPr>
  </w:style>
  <w:style w:type="paragraph" w:styleId="Header">
    <w:name w:val="header"/>
    <w:basedOn w:val="Normal"/>
    <w:link w:val="HeaderChar"/>
    <w:uiPriority w:val="99"/>
    <w:unhideWhenUsed/>
    <w:rsid w:val="0030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5E4"/>
    <w:rPr>
      <w:rFonts w:ascii="Arial" w:hAnsi="Arial"/>
      <w:sz w:val="24"/>
    </w:rPr>
  </w:style>
  <w:style w:type="paragraph" w:styleId="Footer">
    <w:name w:val="footer"/>
    <w:basedOn w:val="Normal"/>
    <w:link w:val="FooterChar"/>
    <w:uiPriority w:val="99"/>
    <w:unhideWhenUsed/>
    <w:rsid w:val="0030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5E4"/>
    <w:rPr>
      <w:rFonts w:ascii="Arial" w:hAnsi="Arial"/>
      <w:sz w:val="24"/>
    </w:rPr>
  </w:style>
  <w:style w:type="paragraph" w:styleId="BalloonText">
    <w:name w:val="Balloon Text"/>
    <w:basedOn w:val="Normal"/>
    <w:link w:val="BalloonTextChar"/>
    <w:uiPriority w:val="99"/>
    <w:semiHidden/>
    <w:unhideWhenUsed/>
    <w:rsid w:val="004C0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07463">
      <w:bodyDiv w:val="1"/>
      <w:marLeft w:val="0"/>
      <w:marRight w:val="0"/>
      <w:marTop w:val="0"/>
      <w:marBottom w:val="0"/>
      <w:divBdr>
        <w:top w:val="none" w:sz="0" w:space="0" w:color="auto"/>
        <w:left w:val="none" w:sz="0" w:space="0" w:color="auto"/>
        <w:bottom w:val="none" w:sz="0" w:space="0" w:color="auto"/>
        <w:right w:val="none" w:sz="0" w:space="0" w:color="auto"/>
      </w:divBdr>
      <w:divsChild>
        <w:div w:id="30611556">
          <w:marLeft w:val="0"/>
          <w:marRight w:val="0"/>
          <w:marTop w:val="0"/>
          <w:marBottom w:val="0"/>
          <w:divBdr>
            <w:top w:val="none" w:sz="0" w:space="0" w:color="auto"/>
            <w:left w:val="none" w:sz="0" w:space="0" w:color="auto"/>
            <w:bottom w:val="none" w:sz="0" w:space="0" w:color="auto"/>
            <w:right w:val="none" w:sz="0" w:space="0" w:color="auto"/>
          </w:divBdr>
          <w:divsChild>
            <w:div w:id="1097599464">
              <w:marLeft w:val="0"/>
              <w:marRight w:val="0"/>
              <w:marTop w:val="0"/>
              <w:marBottom w:val="0"/>
              <w:divBdr>
                <w:top w:val="none" w:sz="0" w:space="0" w:color="auto"/>
                <w:left w:val="none" w:sz="0" w:space="0" w:color="auto"/>
                <w:bottom w:val="none" w:sz="0" w:space="0" w:color="auto"/>
                <w:right w:val="single" w:sz="6" w:space="8" w:color="FFFFFF"/>
              </w:divBdr>
              <w:divsChild>
                <w:div w:id="171383501">
                  <w:marLeft w:val="0"/>
                  <w:marRight w:val="0"/>
                  <w:marTop w:val="0"/>
                  <w:marBottom w:val="0"/>
                  <w:divBdr>
                    <w:top w:val="none" w:sz="0" w:space="0" w:color="auto"/>
                    <w:left w:val="none" w:sz="0" w:space="0" w:color="auto"/>
                    <w:bottom w:val="none" w:sz="0" w:space="0" w:color="auto"/>
                    <w:right w:val="none" w:sz="0" w:space="0" w:color="auto"/>
                  </w:divBdr>
                  <w:divsChild>
                    <w:div w:id="1637175656">
                      <w:marLeft w:val="0"/>
                      <w:marRight w:val="0"/>
                      <w:marTop w:val="0"/>
                      <w:marBottom w:val="0"/>
                      <w:divBdr>
                        <w:top w:val="none" w:sz="0" w:space="0" w:color="auto"/>
                        <w:left w:val="none" w:sz="0" w:space="0" w:color="auto"/>
                        <w:bottom w:val="none" w:sz="0" w:space="0" w:color="auto"/>
                        <w:right w:val="none" w:sz="0" w:space="0" w:color="auto"/>
                      </w:divBdr>
                      <w:divsChild>
                        <w:div w:id="1302613435">
                          <w:marLeft w:val="0"/>
                          <w:marRight w:val="0"/>
                          <w:marTop w:val="0"/>
                          <w:marBottom w:val="0"/>
                          <w:divBdr>
                            <w:top w:val="none" w:sz="0" w:space="0" w:color="auto"/>
                            <w:left w:val="none" w:sz="0" w:space="0" w:color="auto"/>
                            <w:bottom w:val="none" w:sz="0" w:space="0" w:color="auto"/>
                            <w:right w:val="single" w:sz="48" w:space="0" w:color="F7F7F7"/>
                          </w:divBdr>
                          <w:divsChild>
                            <w:div w:id="1973363214">
                              <w:marLeft w:val="0"/>
                              <w:marRight w:val="0"/>
                              <w:marTop w:val="0"/>
                              <w:marBottom w:val="0"/>
                              <w:divBdr>
                                <w:top w:val="none" w:sz="0" w:space="0" w:color="auto"/>
                                <w:left w:val="none" w:sz="0" w:space="0" w:color="auto"/>
                                <w:bottom w:val="none" w:sz="0" w:space="0" w:color="auto"/>
                                <w:right w:val="none" w:sz="0" w:space="0" w:color="auto"/>
                              </w:divBdr>
                              <w:divsChild>
                                <w:div w:id="535850004">
                                  <w:marLeft w:val="0"/>
                                  <w:marRight w:val="0"/>
                                  <w:marTop w:val="0"/>
                                  <w:marBottom w:val="0"/>
                                  <w:divBdr>
                                    <w:top w:val="none" w:sz="0" w:space="0" w:color="auto"/>
                                    <w:left w:val="none" w:sz="0" w:space="0" w:color="auto"/>
                                    <w:bottom w:val="none" w:sz="0" w:space="0" w:color="auto"/>
                                    <w:right w:val="none" w:sz="0" w:space="0" w:color="auto"/>
                                  </w:divBdr>
                                  <w:divsChild>
                                    <w:div w:id="285887708">
                                      <w:marLeft w:val="0"/>
                                      <w:marRight w:val="0"/>
                                      <w:marTop w:val="0"/>
                                      <w:marBottom w:val="0"/>
                                      <w:divBdr>
                                        <w:top w:val="none" w:sz="0" w:space="0" w:color="auto"/>
                                        <w:left w:val="none" w:sz="0" w:space="0" w:color="auto"/>
                                        <w:bottom w:val="none" w:sz="0" w:space="0" w:color="auto"/>
                                        <w:right w:val="none" w:sz="0" w:space="0" w:color="auto"/>
                                      </w:divBdr>
                                      <w:divsChild>
                                        <w:div w:id="588391083">
                                          <w:marLeft w:val="0"/>
                                          <w:marRight w:val="0"/>
                                          <w:marTop w:val="0"/>
                                          <w:marBottom w:val="0"/>
                                          <w:divBdr>
                                            <w:top w:val="none" w:sz="0" w:space="0" w:color="auto"/>
                                            <w:left w:val="none" w:sz="0" w:space="0" w:color="auto"/>
                                            <w:bottom w:val="none" w:sz="0" w:space="0" w:color="auto"/>
                                            <w:right w:val="none" w:sz="0" w:space="0" w:color="auto"/>
                                          </w:divBdr>
                                          <w:divsChild>
                                            <w:div w:id="378826924">
                                              <w:marLeft w:val="0"/>
                                              <w:marRight w:val="0"/>
                                              <w:marTop w:val="0"/>
                                              <w:marBottom w:val="0"/>
                                              <w:divBdr>
                                                <w:top w:val="dashed" w:sz="6" w:space="8" w:color="CCCCCC"/>
                                                <w:left w:val="none" w:sz="0" w:space="0" w:color="auto"/>
                                                <w:bottom w:val="none" w:sz="0" w:space="0" w:color="auto"/>
                                                <w:right w:val="none" w:sz="0" w:space="0" w:color="auto"/>
                                              </w:divBdr>
                                              <w:divsChild>
                                                <w:div w:id="15218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evinrowan@nh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35D0-2C2B-4B2D-8980-48DEC4C9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DFFA9303</Template>
  <TotalTime>3</TotalTime>
  <Pages>11</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Clint - SC PH</dc:creator>
  <cp:lastModifiedBy>GSpinks</cp:lastModifiedBy>
  <cp:revision>3</cp:revision>
  <cp:lastPrinted>2018-06-28T11:12:00Z</cp:lastPrinted>
  <dcterms:created xsi:type="dcterms:W3CDTF">2018-07-17T06:22:00Z</dcterms:created>
  <dcterms:modified xsi:type="dcterms:W3CDTF">2018-12-19T09:45:00Z</dcterms:modified>
</cp:coreProperties>
</file>