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157" w:rsidRDefault="00B26157" w:rsidP="00045D4B">
      <w:pPr>
        <w:rPr>
          <w:b/>
          <w:sz w:val="56"/>
        </w:rPr>
      </w:pPr>
    </w:p>
    <w:p w:rsidR="00B26157" w:rsidRDefault="00B26157" w:rsidP="00045D4B">
      <w:pPr>
        <w:rPr>
          <w:b/>
          <w:sz w:val="56"/>
        </w:rPr>
      </w:pPr>
    </w:p>
    <w:p w:rsidR="00045D4B" w:rsidRDefault="00B26157" w:rsidP="00045D4B">
      <w:pPr>
        <w:rPr>
          <w:b/>
          <w:sz w:val="56"/>
        </w:rPr>
      </w:pPr>
      <w:r>
        <w:rPr>
          <w:b/>
          <w:noProof/>
          <w:sz w:val="56"/>
          <w:lang w:eastAsia="en-GB"/>
        </w:rPr>
        <w:drawing>
          <wp:anchor distT="0" distB="0" distL="114300" distR="114300" simplePos="0" relativeHeight="251658240" behindDoc="1" locked="0" layoutInCell="1" allowOverlap="0" wp14:anchorId="77F22D64" wp14:editId="20C452C3">
            <wp:simplePos x="0" y="0"/>
            <wp:positionH relativeFrom="column">
              <wp:posOffset>4638675</wp:posOffset>
            </wp:positionH>
            <wp:positionV relativeFrom="paragraph">
              <wp:posOffset>-126365</wp:posOffset>
            </wp:positionV>
            <wp:extent cx="1181100" cy="836295"/>
            <wp:effectExtent l="0" t="0" r="0" b="1905"/>
            <wp:wrapTight wrapText="bothSides">
              <wp:wrapPolygon edited="0">
                <wp:start x="0" y="0"/>
                <wp:lineTo x="0" y="21157"/>
                <wp:lineTo x="21252" y="21157"/>
                <wp:lineTo x="21252" y="0"/>
                <wp:lineTo x="0" y="0"/>
              </wp:wrapPolygon>
            </wp:wrapTight>
            <wp:docPr id="3" name="Picture 3" descr="MTW logo (March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TW logo (March 2017)"/>
                    <pic:cNvPicPr>
                      <a:picLocks noChangeAspect="1" noChangeArrowheads="1"/>
                    </pic:cNvPicPr>
                  </pic:nvPicPr>
                  <pic:blipFill>
                    <a:blip r:embed="rId8" cstate="print">
                      <a:extLst>
                        <a:ext uri="{28A0092B-C50C-407E-A947-70E740481C1C}">
                          <a14:useLocalDpi xmlns:a14="http://schemas.microsoft.com/office/drawing/2010/main" val="0"/>
                        </a:ext>
                      </a:extLst>
                    </a:blip>
                    <a:srcRect l="43477" t="12901" r="8696" b="12901"/>
                    <a:stretch>
                      <a:fillRect/>
                    </a:stretch>
                  </pic:blipFill>
                  <pic:spPr bwMode="auto">
                    <a:xfrm>
                      <a:off x="0" y="0"/>
                      <a:ext cx="1181100" cy="8362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5D4B" w:rsidRDefault="00045D4B" w:rsidP="00045D4B">
      <w:pPr>
        <w:rPr>
          <w:b/>
          <w:sz w:val="56"/>
        </w:rPr>
      </w:pPr>
    </w:p>
    <w:p w:rsidR="00045D4B" w:rsidRDefault="00F20D3A" w:rsidP="00F20D3A">
      <w:pPr>
        <w:jc w:val="center"/>
        <w:rPr>
          <w:b/>
          <w:sz w:val="56"/>
        </w:rPr>
      </w:pPr>
      <w:r>
        <w:rPr>
          <w:b/>
          <w:sz w:val="56"/>
        </w:rPr>
        <w:t>Data Protection</w:t>
      </w:r>
      <w:r w:rsidR="00045D4B">
        <w:rPr>
          <w:b/>
          <w:sz w:val="56"/>
        </w:rPr>
        <w:t xml:space="preserve"> Impact Assessment</w:t>
      </w:r>
    </w:p>
    <w:p w:rsidR="002D4A30" w:rsidRDefault="002D4A30" w:rsidP="00045D4B">
      <w:pPr>
        <w:jc w:val="center"/>
        <w:rPr>
          <w:b/>
          <w:sz w:val="56"/>
        </w:rPr>
      </w:pPr>
    </w:p>
    <w:p w:rsidR="00045D4B" w:rsidRPr="006C566E" w:rsidRDefault="00045D4B" w:rsidP="00045D4B">
      <w:pPr>
        <w:jc w:val="center"/>
        <w:rPr>
          <w:b/>
          <w:sz w:val="5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8"/>
        <w:gridCol w:w="2474"/>
        <w:gridCol w:w="1216"/>
        <w:gridCol w:w="1244"/>
        <w:gridCol w:w="1550"/>
      </w:tblGrid>
      <w:tr w:rsidR="00045D4B" w:rsidRPr="006C566E" w:rsidTr="00045D4B">
        <w:trPr>
          <w:jc w:val="center"/>
        </w:trPr>
        <w:tc>
          <w:tcPr>
            <w:tcW w:w="2768" w:type="dxa"/>
            <w:shd w:val="clear" w:color="auto" w:fill="auto"/>
          </w:tcPr>
          <w:p w:rsidR="00045D4B" w:rsidRPr="006C566E" w:rsidRDefault="00045D4B" w:rsidP="002D3416">
            <w:r>
              <w:t>Document Owner</w:t>
            </w:r>
          </w:p>
        </w:tc>
        <w:tc>
          <w:tcPr>
            <w:tcW w:w="2483" w:type="dxa"/>
            <w:shd w:val="clear" w:color="auto" w:fill="auto"/>
          </w:tcPr>
          <w:p w:rsidR="00045D4B" w:rsidRPr="006C566E" w:rsidRDefault="00045D4B" w:rsidP="002D3416">
            <w:r w:rsidRPr="006C566E">
              <w:t>Version</w:t>
            </w:r>
          </w:p>
        </w:tc>
        <w:tc>
          <w:tcPr>
            <w:tcW w:w="1218" w:type="dxa"/>
          </w:tcPr>
          <w:p w:rsidR="00045D4B" w:rsidRDefault="00045D4B" w:rsidP="002D3416">
            <w:r>
              <w:t>Status</w:t>
            </w:r>
          </w:p>
        </w:tc>
        <w:tc>
          <w:tcPr>
            <w:tcW w:w="1218" w:type="dxa"/>
          </w:tcPr>
          <w:p w:rsidR="00045D4B" w:rsidRDefault="00045D4B" w:rsidP="002D3416">
            <w:r>
              <w:t>Approved by</w:t>
            </w:r>
          </w:p>
        </w:tc>
        <w:tc>
          <w:tcPr>
            <w:tcW w:w="1555" w:type="dxa"/>
          </w:tcPr>
          <w:p w:rsidR="00045D4B" w:rsidRDefault="00834356" w:rsidP="002D3416">
            <w:r>
              <w:t xml:space="preserve">Issue </w:t>
            </w:r>
            <w:r w:rsidR="00045D4B">
              <w:t>Date</w:t>
            </w:r>
          </w:p>
        </w:tc>
      </w:tr>
      <w:tr w:rsidR="00045D4B" w:rsidRPr="006C566E" w:rsidTr="00045D4B">
        <w:trPr>
          <w:jc w:val="center"/>
        </w:trPr>
        <w:tc>
          <w:tcPr>
            <w:tcW w:w="2768" w:type="dxa"/>
            <w:shd w:val="clear" w:color="auto" w:fill="auto"/>
          </w:tcPr>
          <w:p w:rsidR="00045D4B" w:rsidRPr="006C566E" w:rsidRDefault="00045D4B" w:rsidP="00045D4B"/>
        </w:tc>
        <w:tc>
          <w:tcPr>
            <w:tcW w:w="2483" w:type="dxa"/>
            <w:shd w:val="clear" w:color="auto" w:fill="auto"/>
          </w:tcPr>
          <w:p w:rsidR="00045D4B" w:rsidRPr="006C566E" w:rsidRDefault="00045D4B" w:rsidP="00045D4B"/>
        </w:tc>
        <w:tc>
          <w:tcPr>
            <w:tcW w:w="1218" w:type="dxa"/>
          </w:tcPr>
          <w:p w:rsidR="00045D4B" w:rsidRDefault="00045D4B" w:rsidP="002D3416"/>
        </w:tc>
        <w:tc>
          <w:tcPr>
            <w:tcW w:w="1218" w:type="dxa"/>
          </w:tcPr>
          <w:p w:rsidR="00045D4B" w:rsidRDefault="00045D4B" w:rsidP="002D3416"/>
        </w:tc>
        <w:tc>
          <w:tcPr>
            <w:tcW w:w="1555" w:type="dxa"/>
          </w:tcPr>
          <w:p w:rsidR="00045D4B" w:rsidRDefault="00045D4B" w:rsidP="002D3416"/>
        </w:tc>
      </w:tr>
      <w:tr w:rsidR="00045D4B" w:rsidRPr="006C566E" w:rsidTr="00045D4B">
        <w:trPr>
          <w:jc w:val="center"/>
        </w:trPr>
        <w:tc>
          <w:tcPr>
            <w:tcW w:w="2768" w:type="dxa"/>
            <w:shd w:val="clear" w:color="auto" w:fill="auto"/>
          </w:tcPr>
          <w:p w:rsidR="00045D4B" w:rsidRPr="006C566E" w:rsidRDefault="00045D4B" w:rsidP="002D3416"/>
        </w:tc>
        <w:tc>
          <w:tcPr>
            <w:tcW w:w="2483" w:type="dxa"/>
            <w:shd w:val="clear" w:color="auto" w:fill="auto"/>
          </w:tcPr>
          <w:p w:rsidR="00045D4B" w:rsidRPr="006C566E" w:rsidRDefault="00045D4B" w:rsidP="002D3416"/>
        </w:tc>
        <w:tc>
          <w:tcPr>
            <w:tcW w:w="1218" w:type="dxa"/>
          </w:tcPr>
          <w:p w:rsidR="00045D4B" w:rsidRDefault="00045D4B" w:rsidP="002D3416"/>
        </w:tc>
        <w:tc>
          <w:tcPr>
            <w:tcW w:w="1218" w:type="dxa"/>
          </w:tcPr>
          <w:p w:rsidR="00045D4B" w:rsidRDefault="00045D4B" w:rsidP="002D3416"/>
        </w:tc>
        <w:tc>
          <w:tcPr>
            <w:tcW w:w="1555" w:type="dxa"/>
          </w:tcPr>
          <w:p w:rsidR="00045D4B" w:rsidRDefault="00045D4B" w:rsidP="002D3416"/>
        </w:tc>
      </w:tr>
      <w:tr w:rsidR="002B4B47" w:rsidRPr="006C566E" w:rsidTr="00045D4B">
        <w:trPr>
          <w:jc w:val="center"/>
        </w:trPr>
        <w:tc>
          <w:tcPr>
            <w:tcW w:w="2768" w:type="dxa"/>
            <w:shd w:val="clear" w:color="auto" w:fill="auto"/>
          </w:tcPr>
          <w:p w:rsidR="002B4B47" w:rsidRPr="006C566E" w:rsidRDefault="002B4B47" w:rsidP="002D3416"/>
        </w:tc>
        <w:tc>
          <w:tcPr>
            <w:tcW w:w="2483" w:type="dxa"/>
            <w:shd w:val="clear" w:color="auto" w:fill="auto"/>
          </w:tcPr>
          <w:p w:rsidR="002B4B47" w:rsidRPr="006C566E" w:rsidRDefault="002B4B47" w:rsidP="002D3416"/>
        </w:tc>
        <w:tc>
          <w:tcPr>
            <w:tcW w:w="1218" w:type="dxa"/>
          </w:tcPr>
          <w:p w:rsidR="002B4B47" w:rsidRDefault="002B4B47" w:rsidP="002D3416"/>
        </w:tc>
        <w:tc>
          <w:tcPr>
            <w:tcW w:w="1218" w:type="dxa"/>
          </w:tcPr>
          <w:p w:rsidR="002B4B47" w:rsidRDefault="002B4B47" w:rsidP="002D3416"/>
        </w:tc>
        <w:tc>
          <w:tcPr>
            <w:tcW w:w="1555" w:type="dxa"/>
          </w:tcPr>
          <w:p w:rsidR="002B4B47" w:rsidRDefault="002B4B47" w:rsidP="002D3416"/>
        </w:tc>
      </w:tr>
    </w:tbl>
    <w:p w:rsidR="00045D4B" w:rsidRDefault="00045D4B" w:rsidP="00535BFF">
      <w:pPr>
        <w:pStyle w:val="Heading1"/>
      </w:pPr>
    </w:p>
    <w:p w:rsidR="00834356" w:rsidRDefault="00045D4B">
      <w:r>
        <w:br w:type="page"/>
      </w:r>
      <w:r w:rsidR="00834356">
        <w:lastRenderedPageBreak/>
        <w:t>Document management</w:t>
      </w:r>
    </w:p>
    <w:p w:rsidR="00834356" w:rsidRDefault="00834356"/>
    <w:p w:rsidR="00834356" w:rsidRDefault="00834356">
      <w:r>
        <w:t>Revision History</w:t>
      </w:r>
    </w:p>
    <w:p w:rsidR="00834356" w:rsidRDefault="00834356"/>
    <w:tbl>
      <w:tblPr>
        <w:tblStyle w:val="TableGrid"/>
        <w:tblW w:w="0" w:type="auto"/>
        <w:tblLook w:val="04A0" w:firstRow="1" w:lastRow="0" w:firstColumn="1" w:lastColumn="0" w:noHBand="0" w:noVBand="1"/>
      </w:tblPr>
      <w:tblGrid>
        <w:gridCol w:w="1101"/>
        <w:gridCol w:w="1134"/>
        <w:gridCol w:w="7007"/>
      </w:tblGrid>
      <w:tr w:rsidR="00834356" w:rsidTr="00834356">
        <w:tc>
          <w:tcPr>
            <w:tcW w:w="1101" w:type="dxa"/>
          </w:tcPr>
          <w:p w:rsidR="00834356" w:rsidRDefault="00834356">
            <w:r>
              <w:t>Version</w:t>
            </w:r>
          </w:p>
        </w:tc>
        <w:tc>
          <w:tcPr>
            <w:tcW w:w="1134" w:type="dxa"/>
          </w:tcPr>
          <w:p w:rsidR="00834356" w:rsidRDefault="00834356">
            <w:r>
              <w:t>Date</w:t>
            </w:r>
          </w:p>
        </w:tc>
        <w:tc>
          <w:tcPr>
            <w:tcW w:w="7007" w:type="dxa"/>
          </w:tcPr>
          <w:p w:rsidR="00834356" w:rsidRDefault="00834356">
            <w:r>
              <w:t>Summary of Changes</w:t>
            </w:r>
          </w:p>
        </w:tc>
      </w:tr>
      <w:tr w:rsidR="00834356" w:rsidTr="00834356">
        <w:tc>
          <w:tcPr>
            <w:tcW w:w="1101" w:type="dxa"/>
          </w:tcPr>
          <w:p w:rsidR="00834356" w:rsidRDefault="00834356"/>
        </w:tc>
        <w:tc>
          <w:tcPr>
            <w:tcW w:w="1134" w:type="dxa"/>
          </w:tcPr>
          <w:p w:rsidR="00834356" w:rsidRDefault="00834356"/>
        </w:tc>
        <w:tc>
          <w:tcPr>
            <w:tcW w:w="7007" w:type="dxa"/>
          </w:tcPr>
          <w:p w:rsidR="00834356" w:rsidRDefault="00834356"/>
        </w:tc>
      </w:tr>
      <w:tr w:rsidR="00834356" w:rsidTr="00834356">
        <w:tc>
          <w:tcPr>
            <w:tcW w:w="1101" w:type="dxa"/>
          </w:tcPr>
          <w:p w:rsidR="00834356" w:rsidRDefault="00834356"/>
        </w:tc>
        <w:tc>
          <w:tcPr>
            <w:tcW w:w="1134" w:type="dxa"/>
          </w:tcPr>
          <w:p w:rsidR="00834356" w:rsidRDefault="00834356"/>
        </w:tc>
        <w:tc>
          <w:tcPr>
            <w:tcW w:w="7007" w:type="dxa"/>
          </w:tcPr>
          <w:p w:rsidR="00834356" w:rsidRDefault="00834356"/>
        </w:tc>
      </w:tr>
    </w:tbl>
    <w:p w:rsidR="00834356" w:rsidRDefault="00834356"/>
    <w:p w:rsidR="00834356" w:rsidRDefault="00834356">
      <w:r>
        <w:br w:type="page"/>
      </w:r>
    </w:p>
    <w:p w:rsidR="00544E30" w:rsidRDefault="00FD7569" w:rsidP="00535BFF">
      <w:pPr>
        <w:pStyle w:val="Heading1"/>
      </w:pPr>
      <w:r>
        <w:lastRenderedPageBreak/>
        <w:t>Data Protection Impact Assessment</w:t>
      </w:r>
      <w:r w:rsidR="00544E30">
        <w:t xml:space="preserve"> </w:t>
      </w:r>
      <w:r>
        <w:t xml:space="preserve">(DPIA) </w:t>
      </w:r>
      <w:r w:rsidR="00544E30">
        <w:t>screening questions</w:t>
      </w:r>
    </w:p>
    <w:p w:rsidR="00535BFF" w:rsidRPr="00535BFF" w:rsidRDefault="00535BFF" w:rsidP="00535BFF">
      <w:r>
        <w:t xml:space="preserve">The following questions must be answered fully to determine the need for a </w:t>
      </w:r>
      <w:proofErr w:type="gramStart"/>
      <w:r w:rsidR="00FD7569">
        <w:t>DPIA .</w:t>
      </w:r>
      <w:proofErr w:type="gramEnd"/>
    </w:p>
    <w:tbl>
      <w:tblPr>
        <w:tblStyle w:val="TableGrid"/>
        <w:tblW w:w="0" w:type="auto"/>
        <w:tblLook w:val="04A0" w:firstRow="1" w:lastRow="0" w:firstColumn="1" w:lastColumn="0" w:noHBand="0" w:noVBand="1"/>
      </w:tblPr>
      <w:tblGrid>
        <w:gridCol w:w="9242"/>
      </w:tblGrid>
      <w:tr w:rsidR="00535BFF" w:rsidRPr="003C30A4" w:rsidTr="00535BFF">
        <w:tc>
          <w:tcPr>
            <w:tcW w:w="9242" w:type="dxa"/>
          </w:tcPr>
          <w:p w:rsidR="00535BFF" w:rsidRPr="003C30A4" w:rsidRDefault="00535BFF" w:rsidP="002D3416">
            <w:pPr>
              <w:rPr>
                <w:b/>
              </w:rPr>
            </w:pPr>
            <w:r w:rsidRPr="003C30A4">
              <w:rPr>
                <w:b/>
              </w:rPr>
              <w:t>Project Name</w:t>
            </w:r>
          </w:p>
        </w:tc>
      </w:tr>
      <w:tr w:rsidR="00535BFF" w:rsidRPr="00535BFF" w:rsidTr="00535BFF">
        <w:tc>
          <w:tcPr>
            <w:tcW w:w="9242" w:type="dxa"/>
          </w:tcPr>
          <w:p w:rsidR="00535BFF" w:rsidRDefault="00535BFF" w:rsidP="003C30A4"/>
          <w:p w:rsidR="00C64BEF" w:rsidRDefault="00C64BEF" w:rsidP="003C30A4">
            <w:r>
              <w:t>AIC Diabetes West Kent Community Model</w:t>
            </w:r>
          </w:p>
          <w:p w:rsidR="00C64BEF" w:rsidRDefault="00C64BEF" w:rsidP="003C30A4"/>
          <w:p w:rsidR="00C64BEF" w:rsidRPr="00535BFF" w:rsidRDefault="00C64BEF" w:rsidP="003C30A4"/>
        </w:tc>
      </w:tr>
      <w:tr w:rsidR="00535BFF" w:rsidRPr="003C30A4" w:rsidTr="00535BFF">
        <w:tc>
          <w:tcPr>
            <w:tcW w:w="9242" w:type="dxa"/>
          </w:tcPr>
          <w:p w:rsidR="00535BFF" w:rsidRPr="003C30A4" w:rsidRDefault="00535BFF" w:rsidP="002D3416">
            <w:pPr>
              <w:rPr>
                <w:b/>
              </w:rPr>
            </w:pPr>
            <w:r w:rsidRPr="003C30A4">
              <w:rPr>
                <w:b/>
              </w:rPr>
              <w:t>Project Sponsor</w:t>
            </w:r>
          </w:p>
        </w:tc>
      </w:tr>
      <w:tr w:rsidR="00535BFF" w:rsidRPr="00535BFF" w:rsidTr="00535BFF">
        <w:tc>
          <w:tcPr>
            <w:tcW w:w="9242" w:type="dxa"/>
          </w:tcPr>
          <w:p w:rsidR="00535BFF" w:rsidRDefault="00535BFF" w:rsidP="002D3416"/>
          <w:p w:rsidR="00C64BEF" w:rsidRDefault="00C64BEF" w:rsidP="002D3416">
            <w:r>
              <w:t xml:space="preserve">Steve </w:t>
            </w:r>
            <w:proofErr w:type="spellStart"/>
            <w:r>
              <w:t>Orpin</w:t>
            </w:r>
            <w:proofErr w:type="spellEnd"/>
            <w:r>
              <w:t xml:space="preserve">, MTW/Adam </w:t>
            </w:r>
            <w:proofErr w:type="spellStart"/>
            <w:r>
              <w:t>Wickings</w:t>
            </w:r>
            <w:proofErr w:type="spellEnd"/>
            <w:r>
              <w:t>, West Kent CCG</w:t>
            </w:r>
          </w:p>
          <w:p w:rsidR="00C64BEF" w:rsidRPr="00535BFF" w:rsidRDefault="00C64BEF" w:rsidP="002D3416"/>
        </w:tc>
      </w:tr>
      <w:tr w:rsidR="00535BFF" w:rsidRPr="003C30A4" w:rsidTr="00535BFF">
        <w:tc>
          <w:tcPr>
            <w:tcW w:w="9242" w:type="dxa"/>
          </w:tcPr>
          <w:p w:rsidR="00535BFF" w:rsidRPr="003C30A4" w:rsidRDefault="00C066A3" w:rsidP="002D3416">
            <w:pPr>
              <w:rPr>
                <w:b/>
              </w:rPr>
            </w:pPr>
            <w:r w:rsidRPr="003C30A4">
              <w:rPr>
                <w:b/>
              </w:rPr>
              <w:t>Project Manager</w:t>
            </w:r>
          </w:p>
        </w:tc>
      </w:tr>
      <w:tr w:rsidR="00535BFF" w:rsidRPr="00535BFF" w:rsidTr="00535BFF">
        <w:tc>
          <w:tcPr>
            <w:tcW w:w="9242" w:type="dxa"/>
          </w:tcPr>
          <w:p w:rsidR="00C066A3" w:rsidRDefault="00C066A3" w:rsidP="002D3416"/>
          <w:p w:rsidR="00C64BEF" w:rsidRDefault="00C64BEF" w:rsidP="002D3416">
            <w:r>
              <w:t>Joint PMO Lead, MTW</w:t>
            </w:r>
          </w:p>
          <w:p w:rsidR="00C64BEF" w:rsidRPr="00535BFF" w:rsidRDefault="00C64BEF" w:rsidP="002D3416"/>
        </w:tc>
      </w:tr>
      <w:tr w:rsidR="00535BFF" w:rsidRPr="003C30A4" w:rsidTr="00535BFF">
        <w:tc>
          <w:tcPr>
            <w:tcW w:w="9242" w:type="dxa"/>
          </w:tcPr>
          <w:p w:rsidR="00535BFF" w:rsidRPr="00440458" w:rsidRDefault="00535BFF" w:rsidP="00440458">
            <w:pPr>
              <w:rPr>
                <w:b/>
              </w:rPr>
            </w:pPr>
            <w:r w:rsidRPr="00440458">
              <w:rPr>
                <w:b/>
              </w:rPr>
              <w:t xml:space="preserve">Will the project involve the collection of new information about individuals? </w:t>
            </w:r>
          </w:p>
        </w:tc>
      </w:tr>
      <w:tr w:rsidR="00FD7569" w:rsidRPr="00FD7569" w:rsidTr="00535BFF">
        <w:tc>
          <w:tcPr>
            <w:tcW w:w="9242" w:type="dxa"/>
          </w:tcPr>
          <w:p w:rsidR="00C066A3" w:rsidRDefault="00C066A3" w:rsidP="00C066A3">
            <w:pPr>
              <w:ind w:left="426"/>
            </w:pPr>
          </w:p>
          <w:p w:rsidR="00C64BEF" w:rsidRDefault="00C64BEF" w:rsidP="00C64BEF">
            <w:r>
              <w:t>No</w:t>
            </w:r>
          </w:p>
          <w:p w:rsidR="00C64BEF" w:rsidRPr="00FD7569" w:rsidRDefault="00C64BEF" w:rsidP="00C066A3">
            <w:pPr>
              <w:ind w:left="426"/>
            </w:pPr>
          </w:p>
        </w:tc>
      </w:tr>
      <w:tr w:rsidR="00C066A3" w:rsidRPr="003C30A4" w:rsidTr="00535BFF">
        <w:tc>
          <w:tcPr>
            <w:tcW w:w="9242" w:type="dxa"/>
          </w:tcPr>
          <w:p w:rsidR="00C066A3" w:rsidRPr="00440458" w:rsidRDefault="00C066A3" w:rsidP="00440458">
            <w:pPr>
              <w:rPr>
                <w:b/>
              </w:rPr>
            </w:pPr>
            <w:r w:rsidRPr="00440458">
              <w:rPr>
                <w:b/>
              </w:rPr>
              <w:t xml:space="preserve">Will the project compel individuals to provide information about </w:t>
            </w:r>
            <w:proofErr w:type="gramStart"/>
            <w:r w:rsidRPr="00440458">
              <w:rPr>
                <w:b/>
              </w:rPr>
              <w:t>themselves</w:t>
            </w:r>
            <w:proofErr w:type="gramEnd"/>
            <w:r w:rsidRPr="00440458">
              <w:rPr>
                <w:b/>
              </w:rPr>
              <w:t>?</w:t>
            </w:r>
          </w:p>
        </w:tc>
      </w:tr>
      <w:tr w:rsidR="00FD7569" w:rsidRPr="00FD7569" w:rsidTr="00535BFF">
        <w:tc>
          <w:tcPr>
            <w:tcW w:w="9242" w:type="dxa"/>
          </w:tcPr>
          <w:p w:rsidR="00C066A3" w:rsidRDefault="00C066A3" w:rsidP="00C066A3">
            <w:pPr>
              <w:ind w:left="426"/>
            </w:pPr>
          </w:p>
          <w:p w:rsidR="00C64BEF" w:rsidRDefault="00C64BEF" w:rsidP="00C64BEF">
            <w:r>
              <w:t>Yes</w:t>
            </w:r>
          </w:p>
          <w:p w:rsidR="00C64BEF" w:rsidRPr="00FD7569" w:rsidRDefault="00C64BEF" w:rsidP="00C64BEF"/>
        </w:tc>
      </w:tr>
      <w:tr w:rsidR="00535BFF" w:rsidRPr="003C30A4" w:rsidTr="00535BFF">
        <w:tc>
          <w:tcPr>
            <w:tcW w:w="9242" w:type="dxa"/>
          </w:tcPr>
          <w:p w:rsidR="00535BFF" w:rsidRPr="00440458" w:rsidRDefault="00535BFF" w:rsidP="00440458">
            <w:pPr>
              <w:rPr>
                <w:b/>
              </w:rPr>
            </w:pPr>
            <w:r w:rsidRPr="00440458">
              <w:rPr>
                <w:b/>
              </w:rPr>
              <w:t xml:space="preserve">Will information about individuals be disclosed to organisations or people who have not previously had routine access to the information? </w:t>
            </w:r>
          </w:p>
        </w:tc>
      </w:tr>
      <w:tr w:rsidR="00FD7569" w:rsidRPr="00FD7569" w:rsidTr="00535BFF">
        <w:tc>
          <w:tcPr>
            <w:tcW w:w="9242" w:type="dxa"/>
          </w:tcPr>
          <w:p w:rsidR="00C066A3" w:rsidRDefault="00C066A3" w:rsidP="00C066A3">
            <w:pPr>
              <w:ind w:left="426"/>
            </w:pPr>
          </w:p>
          <w:p w:rsidR="00C64BEF" w:rsidRDefault="00C64BEF" w:rsidP="00C64BEF">
            <w:r>
              <w:t>No</w:t>
            </w:r>
          </w:p>
          <w:p w:rsidR="00C64BEF" w:rsidRPr="00FD7569" w:rsidRDefault="00C64BEF" w:rsidP="00C066A3">
            <w:pPr>
              <w:ind w:left="426"/>
            </w:pPr>
          </w:p>
        </w:tc>
      </w:tr>
      <w:tr w:rsidR="00535BFF" w:rsidRPr="003C30A4" w:rsidTr="00535BFF">
        <w:tc>
          <w:tcPr>
            <w:tcW w:w="9242" w:type="dxa"/>
          </w:tcPr>
          <w:p w:rsidR="00535BFF" w:rsidRPr="00440458" w:rsidRDefault="00535BFF" w:rsidP="00440458">
            <w:pPr>
              <w:rPr>
                <w:b/>
              </w:rPr>
            </w:pPr>
            <w:r w:rsidRPr="00440458">
              <w:rPr>
                <w:b/>
              </w:rPr>
              <w:t xml:space="preserve">Are you using information about individuals for a purpose it is not currently used for, or in a way it is not currently used? </w:t>
            </w:r>
          </w:p>
        </w:tc>
      </w:tr>
      <w:tr w:rsidR="00FD7569" w:rsidRPr="00FD7569" w:rsidTr="00535BFF">
        <w:tc>
          <w:tcPr>
            <w:tcW w:w="9242" w:type="dxa"/>
          </w:tcPr>
          <w:p w:rsidR="00AF0117" w:rsidRDefault="00AF0117" w:rsidP="00440458">
            <w:pPr>
              <w:ind w:left="426"/>
            </w:pPr>
          </w:p>
          <w:p w:rsidR="00C64BEF" w:rsidRDefault="00C64BEF" w:rsidP="00C64BEF">
            <w:r>
              <w:t>No</w:t>
            </w:r>
          </w:p>
          <w:p w:rsidR="00C64BEF" w:rsidRPr="00FD7569" w:rsidRDefault="00C64BEF" w:rsidP="00440458">
            <w:pPr>
              <w:ind w:left="426"/>
            </w:pPr>
          </w:p>
        </w:tc>
      </w:tr>
      <w:tr w:rsidR="00535BFF" w:rsidRPr="003C30A4" w:rsidTr="00535BFF">
        <w:tc>
          <w:tcPr>
            <w:tcW w:w="9242" w:type="dxa"/>
          </w:tcPr>
          <w:p w:rsidR="00535BFF" w:rsidRPr="00440458" w:rsidRDefault="00535BFF" w:rsidP="00440458">
            <w:pPr>
              <w:rPr>
                <w:b/>
              </w:rPr>
            </w:pPr>
            <w:r w:rsidRPr="00440458">
              <w:rPr>
                <w:b/>
              </w:rPr>
              <w:t xml:space="preserve">Does the project involve you using new technology which might be perceived as being privacy intrusive? For example, the use of biometrics or facial recognition. </w:t>
            </w:r>
          </w:p>
        </w:tc>
      </w:tr>
      <w:tr w:rsidR="00FD7569" w:rsidRPr="00FD7569" w:rsidTr="00535BFF">
        <w:tc>
          <w:tcPr>
            <w:tcW w:w="9242" w:type="dxa"/>
          </w:tcPr>
          <w:p w:rsidR="00AF0117" w:rsidRDefault="00AF0117" w:rsidP="00C066A3">
            <w:pPr>
              <w:ind w:left="426"/>
            </w:pPr>
          </w:p>
          <w:p w:rsidR="00C64BEF" w:rsidRDefault="00C64BEF" w:rsidP="00C64BEF">
            <w:r>
              <w:t>No</w:t>
            </w:r>
          </w:p>
          <w:p w:rsidR="00C64BEF" w:rsidRPr="00FD7569" w:rsidRDefault="00C64BEF" w:rsidP="00C066A3">
            <w:pPr>
              <w:ind w:left="426"/>
            </w:pPr>
          </w:p>
        </w:tc>
      </w:tr>
      <w:tr w:rsidR="00535BFF" w:rsidRPr="003C30A4" w:rsidTr="00535BFF">
        <w:tc>
          <w:tcPr>
            <w:tcW w:w="9242" w:type="dxa"/>
          </w:tcPr>
          <w:p w:rsidR="00535BFF" w:rsidRPr="00440458" w:rsidRDefault="00535BFF" w:rsidP="00440458">
            <w:pPr>
              <w:rPr>
                <w:b/>
              </w:rPr>
            </w:pPr>
            <w:r w:rsidRPr="00440458">
              <w:rPr>
                <w:b/>
              </w:rPr>
              <w:t xml:space="preserve">Will the project result in you making decisions or taking action against individuals in ways which can have a significant impact on them? </w:t>
            </w:r>
          </w:p>
        </w:tc>
      </w:tr>
      <w:tr w:rsidR="00FD7569" w:rsidRPr="00FD7569" w:rsidTr="00535BFF">
        <w:tc>
          <w:tcPr>
            <w:tcW w:w="9242" w:type="dxa"/>
          </w:tcPr>
          <w:p w:rsidR="00AF0117" w:rsidRDefault="00AF0117" w:rsidP="00C066A3">
            <w:pPr>
              <w:ind w:left="426"/>
            </w:pPr>
          </w:p>
          <w:p w:rsidR="00C64BEF" w:rsidRDefault="00C64BEF" w:rsidP="00C64BEF">
            <w:r>
              <w:t>No</w:t>
            </w:r>
          </w:p>
          <w:p w:rsidR="00C64BEF" w:rsidRPr="00FD7569" w:rsidRDefault="00C64BEF" w:rsidP="00C066A3">
            <w:pPr>
              <w:ind w:left="426"/>
            </w:pPr>
          </w:p>
        </w:tc>
      </w:tr>
      <w:tr w:rsidR="00535BFF" w:rsidRPr="003C30A4" w:rsidTr="00535BFF">
        <w:tc>
          <w:tcPr>
            <w:tcW w:w="9242" w:type="dxa"/>
          </w:tcPr>
          <w:p w:rsidR="00535BFF" w:rsidRPr="00440458" w:rsidRDefault="00535BFF" w:rsidP="00440458">
            <w:pPr>
              <w:rPr>
                <w:b/>
              </w:rPr>
            </w:pPr>
            <w:r w:rsidRPr="00440458">
              <w:rPr>
                <w:b/>
              </w:rPr>
              <w:t xml:space="preserve">Is the information about individuals of a kind particularly likely to raise privacy concerns or expectations? For example, health records, criminal records or other information that people would consider to be particularly private. </w:t>
            </w:r>
          </w:p>
        </w:tc>
      </w:tr>
      <w:tr w:rsidR="00FD7569" w:rsidRPr="00FD7569" w:rsidTr="00535BFF">
        <w:tc>
          <w:tcPr>
            <w:tcW w:w="9242" w:type="dxa"/>
          </w:tcPr>
          <w:p w:rsidR="00535BFF" w:rsidRDefault="00535BFF" w:rsidP="001A3BFA">
            <w:pPr>
              <w:ind w:left="426"/>
            </w:pPr>
          </w:p>
          <w:p w:rsidR="00C64BEF" w:rsidRDefault="00C64BEF" w:rsidP="00C64BEF">
            <w:r>
              <w:t>Yes</w:t>
            </w:r>
          </w:p>
          <w:p w:rsidR="00C64BEF" w:rsidRPr="00FD7569" w:rsidRDefault="00C64BEF" w:rsidP="001A3BFA">
            <w:pPr>
              <w:ind w:left="426"/>
            </w:pPr>
          </w:p>
        </w:tc>
      </w:tr>
      <w:tr w:rsidR="00535BFF" w:rsidRPr="003C30A4" w:rsidTr="00535BFF">
        <w:tc>
          <w:tcPr>
            <w:tcW w:w="9242" w:type="dxa"/>
          </w:tcPr>
          <w:p w:rsidR="00535BFF" w:rsidRPr="00440458" w:rsidRDefault="00535BFF" w:rsidP="00440458">
            <w:pPr>
              <w:rPr>
                <w:b/>
              </w:rPr>
            </w:pPr>
            <w:r w:rsidRPr="00440458">
              <w:rPr>
                <w:b/>
              </w:rPr>
              <w:lastRenderedPageBreak/>
              <w:t>Will the project require you to contact individuals in ways which they may find intrusive?</w:t>
            </w:r>
          </w:p>
        </w:tc>
      </w:tr>
      <w:tr w:rsidR="00FD7569" w:rsidRPr="00FD7569" w:rsidTr="00535BFF">
        <w:tc>
          <w:tcPr>
            <w:tcW w:w="9242" w:type="dxa"/>
          </w:tcPr>
          <w:p w:rsidR="00535BFF" w:rsidRDefault="00535BFF" w:rsidP="00C066A3">
            <w:pPr>
              <w:ind w:left="426"/>
            </w:pPr>
          </w:p>
          <w:p w:rsidR="00C64BEF" w:rsidRDefault="00C64BEF" w:rsidP="00C64BEF">
            <w:r>
              <w:t>No</w:t>
            </w:r>
          </w:p>
          <w:p w:rsidR="00C64BEF" w:rsidRPr="00FD7569" w:rsidRDefault="00C64BEF" w:rsidP="00C066A3">
            <w:pPr>
              <w:ind w:left="426"/>
            </w:pPr>
          </w:p>
        </w:tc>
      </w:tr>
    </w:tbl>
    <w:p w:rsidR="00440458" w:rsidRDefault="00440458" w:rsidP="00BC53F4">
      <w:pPr>
        <w:spacing w:line="240" w:lineRule="auto"/>
      </w:pPr>
    </w:p>
    <w:p w:rsidR="007A70F4" w:rsidRDefault="007A70F4" w:rsidP="00BC53F4">
      <w:pPr>
        <w:spacing w:line="240" w:lineRule="auto"/>
      </w:pPr>
      <w:r>
        <w:t xml:space="preserve">If answering ‘Yes’ to any of the questions it is likely a </w:t>
      </w:r>
      <w:r w:rsidR="00C64BEF">
        <w:t>D</w:t>
      </w:r>
      <w:r>
        <w:t>PIA is required.</w:t>
      </w:r>
    </w:p>
    <w:p w:rsidR="007A70F4" w:rsidRDefault="007A70F4" w:rsidP="00BC53F4">
      <w:pPr>
        <w:spacing w:line="240" w:lineRule="auto"/>
      </w:pPr>
    </w:p>
    <w:p w:rsidR="00FD7569" w:rsidRDefault="00FD7569">
      <w:pPr>
        <w:rPr>
          <w:rFonts w:eastAsiaTheme="majorEastAsia" w:cstheme="majorBidi"/>
          <w:b/>
          <w:bCs/>
          <w:color w:val="365F91" w:themeColor="accent1" w:themeShade="BF"/>
          <w:sz w:val="28"/>
          <w:szCs w:val="28"/>
        </w:rPr>
      </w:pPr>
      <w:r>
        <w:br w:type="page"/>
      </w:r>
    </w:p>
    <w:p w:rsidR="007006FE" w:rsidRDefault="00FD7569" w:rsidP="007006FE">
      <w:pPr>
        <w:pStyle w:val="Heading1"/>
      </w:pPr>
      <w:r>
        <w:lastRenderedPageBreak/>
        <w:t>Data Protection Impact Assessment</w:t>
      </w:r>
    </w:p>
    <w:p w:rsidR="006B267D" w:rsidRDefault="006B267D" w:rsidP="00BC53F4">
      <w:pPr>
        <w:spacing w:line="240" w:lineRule="auto"/>
      </w:pPr>
    </w:p>
    <w:tbl>
      <w:tblPr>
        <w:tblStyle w:val="TableGrid"/>
        <w:tblW w:w="0" w:type="auto"/>
        <w:tblLook w:val="04A0" w:firstRow="1" w:lastRow="0" w:firstColumn="1" w:lastColumn="0" w:noHBand="0" w:noVBand="1"/>
      </w:tblPr>
      <w:tblGrid>
        <w:gridCol w:w="9242"/>
      </w:tblGrid>
      <w:tr w:rsidR="007006FE" w:rsidTr="007006FE">
        <w:tc>
          <w:tcPr>
            <w:tcW w:w="9242" w:type="dxa"/>
          </w:tcPr>
          <w:p w:rsidR="007006FE" w:rsidRDefault="007006FE" w:rsidP="007006FE">
            <w:pPr>
              <w:pStyle w:val="Heading2"/>
              <w:outlineLvl w:val="1"/>
            </w:pPr>
            <w:r>
              <w:t xml:space="preserve">Step one: Identify the need for a </w:t>
            </w:r>
            <w:r w:rsidR="00FD7569">
              <w:t>D</w:t>
            </w:r>
            <w:r>
              <w:t xml:space="preserve">PIA </w:t>
            </w:r>
          </w:p>
          <w:p w:rsidR="007006FE" w:rsidRDefault="007006FE" w:rsidP="00BC53F4"/>
        </w:tc>
      </w:tr>
      <w:tr w:rsidR="007006FE" w:rsidTr="007006FE">
        <w:tc>
          <w:tcPr>
            <w:tcW w:w="9242" w:type="dxa"/>
          </w:tcPr>
          <w:p w:rsidR="00A27DD4" w:rsidRDefault="00F44293" w:rsidP="00A27DD4">
            <w:r>
              <w:t>Explain broadly what the project aims to achieve and what type of processing it involves.  You may find it helpful to refer or link to other documents, such as a project proposal.  Summarise why you identified the need for a DPIA.</w:t>
            </w:r>
          </w:p>
          <w:p w:rsidR="00440458" w:rsidRPr="00FD7569" w:rsidRDefault="00440458" w:rsidP="00A27DD4"/>
        </w:tc>
      </w:tr>
      <w:tr w:rsidR="00F44293" w:rsidTr="007006FE">
        <w:tc>
          <w:tcPr>
            <w:tcW w:w="9242" w:type="dxa"/>
          </w:tcPr>
          <w:p w:rsidR="00DD2039" w:rsidRPr="00D14C12" w:rsidRDefault="00DD2039" w:rsidP="00DD2039">
            <w:pPr>
              <w:pStyle w:val="Heading2"/>
              <w:keepNext w:val="0"/>
              <w:keepLines w:val="0"/>
              <w:numPr>
                <w:ilvl w:val="1"/>
                <w:numId w:val="0"/>
              </w:numPr>
              <w:overflowPunct w:val="0"/>
              <w:autoSpaceDE w:val="0"/>
              <w:autoSpaceDN w:val="0"/>
              <w:adjustRightInd w:val="0"/>
              <w:spacing w:before="0" w:after="240"/>
              <w:ind w:left="720" w:hanging="720"/>
              <w:jc w:val="both"/>
              <w:textAlignment w:val="baseline"/>
              <w:outlineLvl w:val="1"/>
              <w:rPr>
                <w:rFonts w:cs="Arial"/>
                <w:color w:val="auto"/>
                <w:sz w:val="24"/>
                <w:szCs w:val="24"/>
              </w:rPr>
            </w:pPr>
            <w:r w:rsidRPr="00D14C12">
              <w:rPr>
                <w:rFonts w:cs="Arial"/>
                <w:color w:val="auto"/>
                <w:sz w:val="24"/>
                <w:szCs w:val="24"/>
              </w:rPr>
              <w:t>Background</w:t>
            </w:r>
          </w:p>
          <w:p w:rsidR="00DD2039" w:rsidRPr="00D14C12" w:rsidRDefault="00DD2039" w:rsidP="00DD2039">
            <w:pPr>
              <w:pStyle w:val="Heading2"/>
              <w:outlineLvl w:val="1"/>
              <w:rPr>
                <w:rFonts w:eastAsiaTheme="minorEastAsia" w:cs="Arial"/>
                <w:b w:val="0"/>
                <w:color w:val="auto"/>
                <w:sz w:val="24"/>
                <w:szCs w:val="24"/>
              </w:rPr>
            </w:pPr>
            <w:r w:rsidRPr="00D14C12">
              <w:rPr>
                <w:rFonts w:cs="Arial"/>
                <w:b w:val="0"/>
                <w:color w:val="auto"/>
                <w:sz w:val="24"/>
                <w:szCs w:val="24"/>
              </w:rPr>
              <w:t xml:space="preserve">Diabetes is acknowledged as a major public health challenge. There is an </w:t>
            </w:r>
            <w:r w:rsidR="001E1B87" w:rsidRPr="00D14C12">
              <w:rPr>
                <w:rFonts w:eastAsiaTheme="minorEastAsia" w:cs="Arial"/>
                <w:b w:val="0"/>
                <w:color w:val="auto"/>
                <w:sz w:val="24"/>
                <w:szCs w:val="24"/>
              </w:rPr>
              <w:t>i</w:t>
            </w:r>
            <w:r w:rsidRPr="00D14C12">
              <w:rPr>
                <w:rFonts w:eastAsiaTheme="minorEastAsia" w:cs="Arial"/>
                <w:b w:val="0"/>
                <w:color w:val="auto"/>
                <w:sz w:val="24"/>
                <w:szCs w:val="24"/>
              </w:rPr>
              <w:t>ncrease in prevalence of diabetes in the UK from 2.4% in 1994 to 5.8% in 2012 and the rising trend is predicted to continue from the current 3 million to nearly 5 million diabetic patients by 2025.</w:t>
            </w:r>
          </w:p>
          <w:p w:rsidR="00DD2039" w:rsidRPr="00D14C12" w:rsidRDefault="00DD2039" w:rsidP="00D14C12">
            <w:pPr>
              <w:pStyle w:val="Heading2"/>
              <w:outlineLvl w:val="1"/>
              <w:rPr>
                <w:b w:val="0"/>
                <w:sz w:val="24"/>
                <w:szCs w:val="24"/>
              </w:rPr>
            </w:pPr>
            <w:r w:rsidRPr="00D14C12">
              <w:rPr>
                <w:rFonts w:eastAsiaTheme="minorEastAsia" w:cs="Arial"/>
                <w:b w:val="0"/>
                <w:bCs w:val="0"/>
                <w:color w:val="auto"/>
                <w:sz w:val="24"/>
                <w:szCs w:val="24"/>
              </w:rPr>
              <w:t xml:space="preserve">For West Kent </w:t>
            </w:r>
            <w:r w:rsidR="001E1B87" w:rsidRPr="001E1B87">
              <w:rPr>
                <w:rFonts w:eastAsiaTheme="minorEastAsia" w:cs="Arial"/>
                <w:bCs w:val="0"/>
                <w:szCs w:val="24"/>
              </w:rPr>
              <w:t>this</w:t>
            </w:r>
            <w:r w:rsidR="001E1B87" w:rsidRPr="00D14C12">
              <w:rPr>
                <w:rFonts w:eastAsiaTheme="minorEastAsia" w:cs="Arial"/>
                <w:b w:val="0"/>
                <w:bCs w:val="0"/>
                <w:color w:val="auto"/>
                <w:sz w:val="24"/>
                <w:szCs w:val="24"/>
              </w:rPr>
              <w:t xml:space="preserve"> </w:t>
            </w:r>
            <w:r w:rsidRPr="00D14C12">
              <w:rPr>
                <w:rFonts w:eastAsiaTheme="minorEastAsia" w:cs="Arial"/>
                <w:b w:val="0"/>
                <w:bCs w:val="0"/>
                <w:color w:val="auto"/>
                <w:sz w:val="24"/>
                <w:szCs w:val="24"/>
              </w:rPr>
              <w:t>will mean a rise from 20,485 to 34,140 people with diabetes in the next 10 years and</w:t>
            </w:r>
            <w:r w:rsidR="001E1B87" w:rsidRPr="00D14C12">
              <w:rPr>
                <w:rFonts w:eastAsiaTheme="minorEastAsia" w:cs="Arial"/>
                <w:bCs w:val="0"/>
                <w:sz w:val="24"/>
                <w:szCs w:val="24"/>
              </w:rPr>
              <w:t xml:space="preserve"> </w:t>
            </w:r>
            <w:r w:rsidRPr="00D14C12">
              <w:rPr>
                <w:rFonts w:eastAsiaTheme="minorEastAsia" w:cs="Arial"/>
                <w:b w:val="0"/>
                <w:bCs w:val="0"/>
                <w:color w:val="auto"/>
                <w:sz w:val="24"/>
                <w:szCs w:val="24"/>
              </w:rPr>
              <w:t xml:space="preserve">there is </w:t>
            </w:r>
            <w:r w:rsidR="001E1B87" w:rsidRPr="001E1B87">
              <w:rPr>
                <w:rFonts w:eastAsiaTheme="minorEastAsia" w:cs="Arial"/>
                <w:bCs w:val="0"/>
                <w:szCs w:val="24"/>
              </w:rPr>
              <w:t xml:space="preserve">currently </w:t>
            </w:r>
            <w:r w:rsidRPr="00D14C12">
              <w:rPr>
                <w:rFonts w:eastAsiaTheme="minorEastAsia" w:cs="Arial"/>
                <w:b w:val="0"/>
                <w:bCs w:val="0"/>
                <w:color w:val="auto"/>
                <w:sz w:val="24"/>
                <w:szCs w:val="24"/>
              </w:rPr>
              <w:t xml:space="preserve">no </w:t>
            </w:r>
            <w:r w:rsidR="001E1B87" w:rsidRPr="001E1B87">
              <w:rPr>
                <w:rFonts w:eastAsiaTheme="minorEastAsia" w:cs="Arial"/>
                <w:bCs w:val="0"/>
                <w:szCs w:val="24"/>
              </w:rPr>
              <w:t xml:space="preserve">planned </w:t>
            </w:r>
            <w:r w:rsidRPr="00D14C12">
              <w:rPr>
                <w:rFonts w:eastAsiaTheme="minorEastAsia" w:cs="Arial"/>
                <w:b w:val="0"/>
                <w:bCs w:val="0"/>
                <w:color w:val="auto"/>
                <w:sz w:val="24"/>
                <w:szCs w:val="24"/>
              </w:rPr>
              <w:t>increase in</w:t>
            </w:r>
            <w:r w:rsidR="001E1B87" w:rsidRPr="001E1B87">
              <w:rPr>
                <w:rFonts w:eastAsiaTheme="minorEastAsia" w:cs="Arial"/>
                <w:bCs w:val="0"/>
                <w:szCs w:val="24"/>
              </w:rPr>
              <w:t xml:space="preserve"> </w:t>
            </w:r>
            <w:r w:rsidR="001E1B87" w:rsidRPr="00D14C12">
              <w:rPr>
                <w:rFonts w:eastAsiaTheme="minorEastAsia"/>
                <w:b w:val="0"/>
                <w:color w:val="auto"/>
                <w:sz w:val="24"/>
                <w:szCs w:val="24"/>
              </w:rPr>
              <w:t>p</w:t>
            </w:r>
            <w:r w:rsidRPr="00D14C12">
              <w:rPr>
                <w:rFonts w:eastAsiaTheme="minorEastAsia"/>
                <w:b w:val="0"/>
                <w:color w:val="auto"/>
                <w:sz w:val="24"/>
                <w:szCs w:val="24"/>
              </w:rPr>
              <w:t xml:space="preserve">rimary care capacity to meet this rise in demand. There is also significant variance in existing </w:t>
            </w:r>
            <w:r w:rsidR="001E1B87" w:rsidRPr="00D14C12">
              <w:rPr>
                <w:rFonts w:eastAsiaTheme="minorEastAsia"/>
                <w:b w:val="0"/>
                <w:color w:val="auto"/>
                <w:sz w:val="24"/>
                <w:szCs w:val="24"/>
              </w:rPr>
              <w:t xml:space="preserve">primary </w:t>
            </w:r>
            <w:r w:rsidRPr="00D14C12">
              <w:rPr>
                <w:rFonts w:eastAsiaTheme="minorEastAsia"/>
                <w:b w:val="0"/>
                <w:color w:val="auto"/>
                <w:sz w:val="24"/>
                <w:szCs w:val="24"/>
              </w:rPr>
              <w:t xml:space="preserve">care provision. </w:t>
            </w:r>
            <w:r w:rsidRPr="00D14C12">
              <w:rPr>
                <w:b w:val="0"/>
                <w:color w:val="auto"/>
                <w:sz w:val="24"/>
                <w:szCs w:val="24"/>
              </w:rPr>
              <w:t>It is estimated that only 25% of Type 1 patients and 41% of Type 2 patients receive all 8 care processes recommended by NICE.</w:t>
            </w:r>
          </w:p>
          <w:p w:rsidR="001E1B87" w:rsidRPr="00D14C12" w:rsidRDefault="001E1B87" w:rsidP="00D14C12">
            <w:pPr>
              <w:rPr>
                <w:szCs w:val="24"/>
              </w:rPr>
            </w:pPr>
          </w:p>
          <w:p w:rsidR="00DD2039" w:rsidRPr="00D14C12" w:rsidRDefault="00DD2039" w:rsidP="00DD2039">
            <w:pPr>
              <w:autoSpaceDE w:val="0"/>
              <w:autoSpaceDN w:val="0"/>
              <w:adjustRightInd w:val="0"/>
              <w:rPr>
                <w:rFonts w:eastAsiaTheme="minorEastAsia" w:cs="Arial"/>
                <w:szCs w:val="24"/>
              </w:rPr>
            </w:pPr>
            <w:r w:rsidRPr="00D14C12">
              <w:rPr>
                <w:rFonts w:cs="Arial"/>
                <w:szCs w:val="24"/>
              </w:rPr>
              <w:t xml:space="preserve">Diabetic related </w:t>
            </w:r>
            <w:r w:rsidRPr="00D14C12">
              <w:rPr>
                <w:rFonts w:cs="Arial"/>
                <w:szCs w:val="24"/>
                <w:u w:val="single"/>
              </w:rPr>
              <w:t>preventable</w:t>
            </w:r>
            <w:r w:rsidRPr="00D14C12">
              <w:rPr>
                <w:rFonts w:cs="Arial"/>
                <w:szCs w:val="24"/>
              </w:rPr>
              <w:t xml:space="preserve"> non-elective acute admissions are </w:t>
            </w:r>
            <w:r w:rsidR="001E1B87" w:rsidRPr="001E1B87">
              <w:rPr>
                <w:rFonts w:cs="Arial"/>
                <w:szCs w:val="24"/>
              </w:rPr>
              <w:t xml:space="preserve">also </w:t>
            </w:r>
            <w:r w:rsidRPr="00D14C12">
              <w:rPr>
                <w:rFonts w:cs="Arial"/>
                <w:szCs w:val="24"/>
              </w:rPr>
              <w:t xml:space="preserve">on the rise and consuming a lot of resources. </w:t>
            </w:r>
            <w:r w:rsidRPr="00D14C12">
              <w:rPr>
                <w:rFonts w:eastAsiaTheme="minorEastAsia" w:cs="Arial"/>
                <w:szCs w:val="24"/>
              </w:rPr>
              <w:t xml:space="preserve">Diabetes and its related disorders consumed nearly </w:t>
            </w:r>
            <w:r w:rsidRPr="00D14C12">
              <w:rPr>
                <w:rFonts w:eastAsiaTheme="minorEastAsia" w:cs="Arial"/>
                <w:bCs/>
                <w:szCs w:val="24"/>
              </w:rPr>
              <w:t>£23.7</w:t>
            </w:r>
            <w:r w:rsidRPr="00D14C12">
              <w:rPr>
                <w:rFonts w:eastAsiaTheme="minorEastAsia" w:cs="Arial"/>
                <w:szCs w:val="24"/>
              </w:rPr>
              <w:t xml:space="preserve"> billion from the NHS budget (18.3%) in 2014 and </w:t>
            </w:r>
            <w:proofErr w:type="gramStart"/>
            <w:r w:rsidRPr="00D14C12">
              <w:rPr>
                <w:rFonts w:eastAsiaTheme="minorEastAsia" w:cs="Arial"/>
                <w:szCs w:val="24"/>
              </w:rPr>
              <w:t>is</w:t>
            </w:r>
            <w:proofErr w:type="gramEnd"/>
            <w:r w:rsidRPr="00D14C12">
              <w:rPr>
                <w:rFonts w:eastAsiaTheme="minorEastAsia" w:cs="Arial"/>
                <w:szCs w:val="24"/>
              </w:rPr>
              <w:t xml:space="preserve"> set to rise to </w:t>
            </w:r>
            <w:r w:rsidRPr="00D14C12">
              <w:rPr>
                <w:rFonts w:eastAsiaTheme="minorEastAsia" w:cs="Arial"/>
                <w:bCs/>
                <w:szCs w:val="24"/>
              </w:rPr>
              <w:t>£39.8</w:t>
            </w:r>
            <w:r w:rsidRPr="00D14C12">
              <w:rPr>
                <w:rFonts w:eastAsiaTheme="minorEastAsia" w:cs="Arial"/>
                <w:szCs w:val="24"/>
              </w:rPr>
              <w:t xml:space="preserve"> billion by 2035. For West Kent CCG this relates to nearly </w:t>
            </w:r>
            <w:r w:rsidRPr="00D14C12">
              <w:rPr>
                <w:rFonts w:eastAsiaTheme="minorEastAsia" w:cs="Arial"/>
                <w:bCs/>
                <w:szCs w:val="24"/>
              </w:rPr>
              <w:t>£87</w:t>
            </w:r>
            <w:r w:rsidRPr="00D14C12">
              <w:rPr>
                <w:rFonts w:eastAsiaTheme="minorEastAsia" w:cs="Arial"/>
                <w:szCs w:val="24"/>
              </w:rPr>
              <w:t xml:space="preserve"> million spent in 2014.  </w:t>
            </w:r>
          </w:p>
          <w:p w:rsidR="00DD2039" w:rsidRPr="00D14C12" w:rsidRDefault="001E1B87" w:rsidP="00D14C12">
            <w:pPr>
              <w:tabs>
                <w:tab w:val="left" w:pos="2160"/>
              </w:tabs>
              <w:autoSpaceDE w:val="0"/>
              <w:autoSpaceDN w:val="0"/>
              <w:adjustRightInd w:val="0"/>
              <w:rPr>
                <w:rFonts w:eastAsiaTheme="minorEastAsia" w:cs="Arial"/>
                <w:szCs w:val="24"/>
              </w:rPr>
            </w:pPr>
            <w:r w:rsidRPr="00D14C12">
              <w:rPr>
                <w:rFonts w:eastAsiaTheme="minorEastAsia" w:cs="Arial"/>
                <w:szCs w:val="24"/>
              </w:rPr>
              <w:tab/>
            </w:r>
          </w:p>
          <w:p w:rsidR="00DD2039" w:rsidRPr="00D14C12" w:rsidRDefault="00DD2039" w:rsidP="00DD2039">
            <w:pPr>
              <w:pStyle w:val="Heading2"/>
              <w:keepNext w:val="0"/>
              <w:keepLines w:val="0"/>
              <w:numPr>
                <w:ilvl w:val="1"/>
                <w:numId w:val="0"/>
              </w:numPr>
              <w:overflowPunct w:val="0"/>
              <w:autoSpaceDE w:val="0"/>
              <w:autoSpaceDN w:val="0"/>
              <w:adjustRightInd w:val="0"/>
              <w:spacing w:before="0" w:after="240"/>
              <w:ind w:left="720" w:hanging="720"/>
              <w:jc w:val="both"/>
              <w:textAlignment w:val="baseline"/>
              <w:outlineLvl w:val="1"/>
              <w:rPr>
                <w:rFonts w:cs="Arial"/>
                <w:color w:val="auto"/>
                <w:sz w:val="24"/>
                <w:szCs w:val="24"/>
              </w:rPr>
            </w:pPr>
            <w:r w:rsidRPr="00D14C12">
              <w:rPr>
                <w:rFonts w:cs="Arial"/>
                <w:color w:val="auto"/>
                <w:sz w:val="24"/>
                <w:szCs w:val="24"/>
              </w:rPr>
              <w:t>Service re-design</w:t>
            </w:r>
          </w:p>
          <w:p w:rsidR="00DD2039" w:rsidRPr="00D14C12" w:rsidRDefault="00DD2039" w:rsidP="00DD2039">
            <w:pPr>
              <w:pStyle w:val="Heading2"/>
              <w:outlineLvl w:val="1"/>
              <w:rPr>
                <w:rFonts w:eastAsiaTheme="minorEastAsia" w:cs="Arial"/>
                <w:b w:val="0"/>
                <w:color w:val="auto"/>
                <w:sz w:val="24"/>
                <w:szCs w:val="24"/>
              </w:rPr>
            </w:pPr>
            <w:r w:rsidRPr="00D14C12">
              <w:rPr>
                <w:rFonts w:eastAsiaTheme="minorEastAsia" w:cs="Arial"/>
                <w:b w:val="0"/>
                <w:color w:val="auto"/>
                <w:sz w:val="24"/>
                <w:szCs w:val="24"/>
              </w:rPr>
              <w:t>The issues above highlight a clear case for change</w:t>
            </w:r>
            <w:r w:rsidR="001E1B87">
              <w:rPr>
                <w:rFonts w:eastAsiaTheme="minorEastAsia" w:cs="Arial"/>
                <w:b w:val="0"/>
                <w:color w:val="auto"/>
                <w:sz w:val="24"/>
                <w:szCs w:val="24"/>
              </w:rPr>
              <w:t>,</w:t>
            </w:r>
            <w:r w:rsidRPr="00D14C12">
              <w:rPr>
                <w:rFonts w:eastAsiaTheme="minorEastAsia" w:cs="Arial"/>
                <w:b w:val="0"/>
                <w:color w:val="auto"/>
                <w:sz w:val="24"/>
                <w:szCs w:val="24"/>
              </w:rPr>
              <w:t xml:space="preserve"> to redesign the current care pathway under a single integrated service model</w:t>
            </w:r>
            <w:r w:rsidR="001E1B87">
              <w:rPr>
                <w:rFonts w:eastAsiaTheme="minorEastAsia" w:cs="Arial"/>
                <w:b w:val="0"/>
                <w:color w:val="auto"/>
                <w:sz w:val="24"/>
                <w:szCs w:val="24"/>
              </w:rPr>
              <w:t>,</w:t>
            </w:r>
            <w:r w:rsidRPr="00D14C12">
              <w:rPr>
                <w:rFonts w:eastAsiaTheme="minorEastAsia" w:cs="Arial"/>
                <w:b w:val="0"/>
                <w:color w:val="auto"/>
                <w:sz w:val="24"/>
                <w:szCs w:val="24"/>
              </w:rPr>
              <w:t xml:space="preserve"> with the following features:</w:t>
            </w:r>
          </w:p>
          <w:p w:rsidR="001E1B87" w:rsidRPr="00D14C12" w:rsidRDefault="001E1B87" w:rsidP="00D14C12">
            <w:pPr>
              <w:rPr>
                <w:rFonts w:cs="Arial"/>
                <w:szCs w:val="24"/>
              </w:rPr>
            </w:pPr>
          </w:p>
          <w:p w:rsidR="00DD2039" w:rsidRPr="00D14C12" w:rsidRDefault="00DD2039" w:rsidP="00DD2039">
            <w:pPr>
              <w:pStyle w:val="ListParagraph"/>
              <w:numPr>
                <w:ilvl w:val="0"/>
                <w:numId w:val="12"/>
              </w:numPr>
              <w:jc w:val="both"/>
              <w:rPr>
                <w:rFonts w:cs="Arial"/>
                <w:szCs w:val="24"/>
              </w:rPr>
            </w:pPr>
            <w:r w:rsidRPr="00D14C12">
              <w:rPr>
                <w:rFonts w:cs="Arial"/>
                <w:szCs w:val="24"/>
              </w:rPr>
              <w:t xml:space="preserve">MTW lead the service and sub-contract stakeholders such as West Kent Health Ltd </w:t>
            </w:r>
            <w:r w:rsidR="001E1B87">
              <w:rPr>
                <w:rFonts w:cs="Arial"/>
                <w:szCs w:val="24"/>
              </w:rPr>
              <w:t xml:space="preserve">(also known as the West Kent GP federation) </w:t>
            </w:r>
            <w:r w:rsidRPr="00D14C12">
              <w:rPr>
                <w:rFonts w:cs="Arial"/>
                <w:szCs w:val="24"/>
              </w:rPr>
              <w:t xml:space="preserve">and KCHFT. </w:t>
            </w:r>
          </w:p>
          <w:p w:rsidR="00DD2039" w:rsidRPr="00D14C12" w:rsidRDefault="00DD2039" w:rsidP="00DD2039">
            <w:pPr>
              <w:pStyle w:val="Heading2"/>
              <w:keepNext w:val="0"/>
              <w:keepLines w:val="0"/>
              <w:numPr>
                <w:ilvl w:val="0"/>
                <w:numId w:val="12"/>
              </w:numPr>
              <w:overflowPunct w:val="0"/>
              <w:autoSpaceDE w:val="0"/>
              <w:autoSpaceDN w:val="0"/>
              <w:adjustRightInd w:val="0"/>
              <w:spacing w:before="0"/>
              <w:jc w:val="both"/>
              <w:textAlignment w:val="baseline"/>
              <w:outlineLvl w:val="1"/>
              <w:rPr>
                <w:rFonts w:cs="Arial"/>
                <w:b w:val="0"/>
                <w:color w:val="auto"/>
                <w:sz w:val="24"/>
                <w:szCs w:val="24"/>
              </w:rPr>
            </w:pPr>
            <w:r w:rsidRPr="00D14C12">
              <w:rPr>
                <w:rFonts w:cs="Arial"/>
                <w:b w:val="0"/>
                <w:color w:val="auto"/>
                <w:sz w:val="24"/>
                <w:szCs w:val="24"/>
              </w:rPr>
              <w:t xml:space="preserve">Increased investment of £139k to provide </w:t>
            </w:r>
            <w:r w:rsidR="001E1B87">
              <w:rPr>
                <w:rFonts w:cs="Arial"/>
                <w:b w:val="0"/>
                <w:color w:val="auto"/>
                <w:sz w:val="24"/>
                <w:szCs w:val="24"/>
              </w:rPr>
              <w:t>p</w:t>
            </w:r>
            <w:r w:rsidRPr="00D14C12">
              <w:rPr>
                <w:rFonts w:cs="Arial"/>
                <w:b w:val="0"/>
                <w:color w:val="auto"/>
                <w:sz w:val="24"/>
                <w:szCs w:val="24"/>
              </w:rPr>
              <w:t xml:space="preserve">sychological </w:t>
            </w:r>
            <w:r w:rsidR="001E1B87">
              <w:rPr>
                <w:rFonts w:cs="Arial"/>
                <w:b w:val="0"/>
                <w:color w:val="auto"/>
                <w:sz w:val="24"/>
                <w:szCs w:val="24"/>
              </w:rPr>
              <w:t>s</w:t>
            </w:r>
            <w:r w:rsidRPr="00D14C12">
              <w:rPr>
                <w:rFonts w:cs="Arial"/>
                <w:b w:val="0"/>
                <w:color w:val="auto"/>
                <w:sz w:val="24"/>
                <w:szCs w:val="24"/>
              </w:rPr>
              <w:t xml:space="preserve">upport, manage </w:t>
            </w:r>
            <w:r w:rsidR="001E1B87" w:rsidRPr="001E1B87">
              <w:rPr>
                <w:rFonts w:cs="Arial"/>
                <w:b w:val="0"/>
                <w:color w:val="auto"/>
                <w:sz w:val="24"/>
                <w:szCs w:val="24"/>
              </w:rPr>
              <w:t>housebound</w:t>
            </w:r>
            <w:r w:rsidRPr="00D14C12">
              <w:rPr>
                <w:rFonts w:cs="Arial"/>
                <w:b w:val="0"/>
                <w:color w:val="auto"/>
                <w:sz w:val="24"/>
                <w:szCs w:val="24"/>
              </w:rPr>
              <w:t xml:space="preserve"> patients, </w:t>
            </w:r>
            <w:proofErr w:type="gramStart"/>
            <w:r w:rsidRPr="00D14C12">
              <w:rPr>
                <w:rFonts w:cs="Arial"/>
                <w:b w:val="0"/>
                <w:color w:val="auto"/>
                <w:sz w:val="24"/>
                <w:szCs w:val="24"/>
              </w:rPr>
              <w:t>extend</w:t>
            </w:r>
            <w:proofErr w:type="gramEnd"/>
            <w:r w:rsidRPr="00D14C12">
              <w:rPr>
                <w:rFonts w:cs="Arial"/>
                <w:b w:val="0"/>
                <w:color w:val="auto"/>
                <w:sz w:val="24"/>
                <w:szCs w:val="24"/>
              </w:rPr>
              <w:t xml:space="preserve"> level 2 coverage and additional professional education.</w:t>
            </w:r>
          </w:p>
          <w:p w:rsidR="00DD2039" w:rsidRPr="00D14C12" w:rsidRDefault="00DD2039" w:rsidP="00DD2039">
            <w:pPr>
              <w:pStyle w:val="Heading2"/>
              <w:keepNext w:val="0"/>
              <w:keepLines w:val="0"/>
              <w:numPr>
                <w:ilvl w:val="0"/>
                <w:numId w:val="12"/>
              </w:numPr>
              <w:overflowPunct w:val="0"/>
              <w:autoSpaceDE w:val="0"/>
              <w:autoSpaceDN w:val="0"/>
              <w:adjustRightInd w:val="0"/>
              <w:spacing w:before="0"/>
              <w:jc w:val="both"/>
              <w:textAlignment w:val="baseline"/>
              <w:outlineLvl w:val="1"/>
              <w:rPr>
                <w:rFonts w:cs="Arial"/>
                <w:b w:val="0"/>
                <w:color w:val="auto"/>
                <w:sz w:val="24"/>
                <w:szCs w:val="24"/>
              </w:rPr>
            </w:pPr>
            <w:r w:rsidRPr="00D14C12">
              <w:rPr>
                <w:rFonts w:cs="Arial"/>
                <w:b w:val="0"/>
                <w:color w:val="auto"/>
                <w:sz w:val="24"/>
                <w:szCs w:val="24"/>
              </w:rPr>
              <w:t xml:space="preserve">Upskilled and supported </w:t>
            </w:r>
            <w:r w:rsidR="001E1B87">
              <w:rPr>
                <w:rFonts w:cs="Arial"/>
                <w:b w:val="0"/>
                <w:color w:val="auto"/>
                <w:sz w:val="24"/>
                <w:szCs w:val="24"/>
              </w:rPr>
              <w:t>p</w:t>
            </w:r>
            <w:r w:rsidRPr="00D14C12">
              <w:rPr>
                <w:rFonts w:cs="Arial"/>
                <w:b w:val="0"/>
                <w:color w:val="auto"/>
                <w:sz w:val="24"/>
                <w:szCs w:val="24"/>
              </w:rPr>
              <w:t xml:space="preserve">rimary </w:t>
            </w:r>
            <w:r w:rsidR="001E1B87">
              <w:rPr>
                <w:rFonts w:cs="Arial"/>
                <w:b w:val="0"/>
                <w:color w:val="auto"/>
                <w:sz w:val="24"/>
                <w:szCs w:val="24"/>
              </w:rPr>
              <w:t>c</w:t>
            </w:r>
            <w:r w:rsidRPr="00D14C12">
              <w:rPr>
                <w:rFonts w:cs="Arial"/>
                <w:b w:val="0"/>
                <w:color w:val="auto"/>
                <w:sz w:val="24"/>
                <w:szCs w:val="24"/>
              </w:rPr>
              <w:t xml:space="preserve">are to better manage </w:t>
            </w:r>
            <w:r w:rsidR="001E1B87">
              <w:rPr>
                <w:rFonts w:cs="Arial"/>
                <w:b w:val="0"/>
                <w:color w:val="auto"/>
                <w:sz w:val="24"/>
                <w:szCs w:val="24"/>
              </w:rPr>
              <w:t>d</w:t>
            </w:r>
            <w:r w:rsidRPr="00D14C12">
              <w:rPr>
                <w:rFonts w:cs="Arial"/>
                <w:b w:val="0"/>
                <w:color w:val="auto"/>
                <w:sz w:val="24"/>
                <w:szCs w:val="24"/>
              </w:rPr>
              <w:t>iabetes.</w:t>
            </w:r>
          </w:p>
          <w:p w:rsidR="00DD2039" w:rsidRPr="00D14C12" w:rsidRDefault="00DD2039" w:rsidP="00DD2039">
            <w:pPr>
              <w:pStyle w:val="Heading2"/>
              <w:keepNext w:val="0"/>
              <w:keepLines w:val="0"/>
              <w:numPr>
                <w:ilvl w:val="0"/>
                <w:numId w:val="12"/>
              </w:numPr>
              <w:overflowPunct w:val="0"/>
              <w:autoSpaceDE w:val="0"/>
              <w:autoSpaceDN w:val="0"/>
              <w:adjustRightInd w:val="0"/>
              <w:spacing w:before="0"/>
              <w:jc w:val="both"/>
              <w:textAlignment w:val="baseline"/>
              <w:outlineLvl w:val="1"/>
              <w:rPr>
                <w:rFonts w:cs="Arial"/>
                <w:b w:val="0"/>
                <w:color w:val="auto"/>
                <w:sz w:val="24"/>
                <w:szCs w:val="24"/>
              </w:rPr>
            </w:pPr>
            <w:r w:rsidRPr="00D14C12">
              <w:rPr>
                <w:rFonts w:cs="Arial"/>
                <w:b w:val="0"/>
                <w:color w:val="auto"/>
                <w:sz w:val="24"/>
                <w:szCs w:val="24"/>
              </w:rPr>
              <w:t xml:space="preserve">Referrals are to be triaged by </w:t>
            </w:r>
            <w:r w:rsidR="001E1B87">
              <w:rPr>
                <w:rFonts w:cs="Arial"/>
                <w:b w:val="0"/>
                <w:color w:val="auto"/>
                <w:sz w:val="24"/>
                <w:szCs w:val="24"/>
              </w:rPr>
              <w:t>d</w:t>
            </w:r>
            <w:r w:rsidR="001E1B87" w:rsidRPr="00D14C12">
              <w:rPr>
                <w:rFonts w:cs="Arial"/>
                <w:b w:val="0"/>
                <w:color w:val="auto"/>
                <w:sz w:val="24"/>
                <w:szCs w:val="24"/>
              </w:rPr>
              <w:t xml:space="preserve">iabetes </w:t>
            </w:r>
            <w:r w:rsidR="001E1B87">
              <w:rPr>
                <w:rFonts w:cs="Arial"/>
                <w:b w:val="0"/>
                <w:color w:val="auto"/>
                <w:sz w:val="24"/>
                <w:szCs w:val="24"/>
              </w:rPr>
              <w:t>s</w:t>
            </w:r>
            <w:r w:rsidR="001E1B87" w:rsidRPr="00D14C12">
              <w:rPr>
                <w:rFonts w:cs="Arial"/>
                <w:b w:val="0"/>
                <w:color w:val="auto"/>
                <w:sz w:val="24"/>
                <w:szCs w:val="24"/>
              </w:rPr>
              <w:t xml:space="preserve">pecialist </w:t>
            </w:r>
            <w:r w:rsidR="001E1B87">
              <w:rPr>
                <w:rFonts w:cs="Arial"/>
                <w:b w:val="0"/>
                <w:color w:val="auto"/>
                <w:sz w:val="24"/>
                <w:szCs w:val="24"/>
              </w:rPr>
              <w:t>n</w:t>
            </w:r>
            <w:r w:rsidR="001E1B87" w:rsidRPr="00D14C12">
              <w:rPr>
                <w:rFonts w:cs="Arial"/>
                <w:b w:val="0"/>
                <w:color w:val="auto"/>
                <w:sz w:val="24"/>
                <w:szCs w:val="24"/>
              </w:rPr>
              <w:t xml:space="preserve">urse </w:t>
            </w:r>
            <w:r w:rsidR="001E1B87">
              <w:rPr>
                <w:rFonts w:cs="Arial"/>
                <w:b w:val="0"/>
                <w:color w:val="auto"/>
                <w:sz w:val="24"/>
                <w:szCs w:val="24"/>
              </w:rPr>
              <w:t xml:space="preserve">(DSN) </w:t>
            </w:r>
            <w:r w:rsidRPr="00D14C12">
              <w:rPr>
                <w:rFonts w:cs="Arial"/>
                <w:b w:val="0"/>
                <w:color w:val="auto"/>
                <w:sz w:val="24"/>
                <w:szCs w:val="24"/>
              </w:rPr>
              <w:t>to ensure patients are directed to the most appropriate clinician.</w:t>
            </w:r>
          </w:p>
          <w:p w:rsidR="00DD2039" w:rsidRPr="00D14C12" w:rsidRDefault="00DD2039" w:rsidP="00DD2039">
            <w:pPr>
              <w:pStyle w:val="Heading2"/>
              <w:keepNext w:val="0"/>
              <w:keepLines w:val="0"/>
              <w:numPr>
                <w:ilvl w:val="0"/>
                <w:numId w:val="12"/>
              </w:numPr>
              <w:overflowPunct w:val="0"/>
              <w:autoSpaceDE w:val="0"/>
              <w:autoSpaceDN w:val="0"/>
              <w:adjustRightInd w:val="0"/>
              <w:spacing w:before="0"/>
              <w:jc w:val="both"/>
              <w:textAlignment w:val="baseline"/>
              <w:outlineLvl w:val="1"/>
              <w:rPr>
                <w:rFonts w:cs="Arial"/>
                <w:b w:val="0"/>
                <w:color w:val="auto"/>
                <w:sz w:val="24"/>
                <w:szCs w:val="24"/>
              </w:rPr>
            </w:pPr>
            <w:r w:rsidRPr="00D14C12">
              <w:rPr>
                <w:rFonts w:cs="Arial"/>
                <w:b w:val="0"/>
                <w:color w:val="auto"/>
                <w:sz w:val="24"/>
                <w:szCs w:val="24"/>
              </w:rPr>
              <w:t xml:space="preserve">Services to be provided from a combination of </w:t>
            </w:r>
            <w:r w:rsidR="001E1B87">
              <w:rPr>
                <w:rFonts w:cs="Arial"/>
                <w:b w:val="0"/>
                <w:color w:val="auto"/>
                <w:sz w:val="24"/>
                <w:szCs w:val="24"/>
              </w:rPr>
              <w:t>h</w:t>
            </w:r>
            <w:r w:rsidRPr="00D14C12">
              <w:rPr>
                <w:rFonts w:cs="Arial"/>
                <w:b w:val="0"/>
                <w:color w:val="auto"/>
                <w:sz w:val="24"/>
                <w:szCs w:val="24"/>
              </w:rPr>
              <w:t xml:space="preserve">ubs </w:t>
            </w:r>
            <w:r w:rsidR="001E1B87">
              <w:rPr>
                <w:rFonts w:cs="Arial"/>
                <w:b w:val="0"/>
                <w:color w:val="auto"/>
                <w:sz w:val="24"/>
                <w:szCs w:val="24"/>
              </w:rPr>
              <w:t>and</w:t>
            </w:r>
            <w:r w:rsidR="001E1B87" w:rsidRPr="00D14C12">
              <w:rPr>
                <w:rFonts w:cs="Arial"/>
                <w:b w:val="0"/>
                <w:color w:val="auto"/>
                <w:sz w:val="24"/>
                <w:szCs w:val="24"/>
              </w:rPr>
              <w:t xml:space="preserve"> </w:t>
            </w:r>
            <w:r w:rsidR="001E1B87">
              <w:rPr>
                <w:rFonts w:cs="Arial"/>
                <w:b w:val="0"/>
                <w:color w:val="auto"/>
                <w:sz w:val="24"/>
                <w:szCs w:val="24"/>
              </w:rPr>
              <w:t>s</w:t>
            </w:r>
            <w:r w:rsidRPr="00D14C12">
              <w:rPr>
                <w:rFonts w:cs="Arial"/>
                <w:b w:val="0"/>
                <w:color w:val="auto"/>
                <w:sz w:val="24"/>
                <w:szCs w:val="24"/>
              </w:rPr>
              <w:t>pokes in which:</w:t>
            </w:r>
          </w:p>
          <w:p w:rsidR="00DD2039" w:rsidRPr="00D14C12" w:rsidRDefault="00DD2039" w:rsidP="00DD2039">
            <w:pPr>
              <w:pStyle w:val="Heading2"/>
              <w:keepNext w:val="0"/>
              <w:keepLines w:val="0"/>
              <w:numPr>
                <w:ilvl w:val="1"/>
                <w:numId w:val="9"/>
              </w:numPr>
              <w:overflowPunct w:val="0"/>
              <w:autoSpaceDE w:val="0"/>
              <w:autoSpaceDN w:val="0"/>
              <w:adjustRightInd w:val="0"/>
              <w:spacing w:before="0"/>
              <w:jc w:val="both"/>
              <w:textAlignment w:val="baseline"/>
              <w:outlineLvl w:val="1"/>
              <w:rPr>
                <w:rFonts w:cs="Arial"/>
                <w:b w:val="0"/>
                <w:color w:val="auto"/>
                <w:sz w:val="24"/>
                <w:szCs w:val="24"/>
              </w:rPr>
            </w:pPr>
            <w:r w:rsidRPr="00D14C12">
              <w:rPr>
                <w:rFonts w:cs="Arial"/>
                <w:b w:val="0"/>
                <w:color w:val="auto"/>
                <w:sz w:val="24"/>
                <w:szCs w:val="24"/>
              </w:rPr>
              <w:t>Spokes are an expansion of the existing Local Enhanced Service aligned to a population size of 40,000-60,000 providing services for Type 2 diabetes patients with in-reach DSN support.</w:t>
            </w:r>
          </w:p>
          <w:p w:rsidR="00DD2039" w:rsidRPr="00D14C12" w:rsidRDefault="00DD2039" w:rsidP="00DD2039">
            <w:pPr>
              <w:pStyle w:val="Heading2"/>
              <w:keepNext w:val="0"/>
              <w:keepLines w:val="0"/>
              <w:numPr>
                <w:ilvl w:val="1"/>
                <w:numId w:val="9"/>
              </w:numPr>
              <w:overflowPunct w:val="0"/>
              <w:autoSpaceDE w:val="0"/>
              <w:autoSpaceDN w:val="0"/>
              <w:adjustRightInd w:val="0"/>
              <w:spacing w:before="0"/>
              <w:jc w:val="both"/>
              <w:textAlignment w:val="baseline"/>
              <w:outlineLvl w:val="1"/>
              <w:rPr>
                <w:rFonts w:cs="Arial"/>
                <w:b w:val="0"/>
                <w:color w:val="auto"/>
                <w:sz w:val="24"/>
                <w:szCs w:val="24"/>
              </w:rPr>
            </w:pPr>
            <w:r w:rsidRPr="00D14C12">
              <w:rPr>
                <w:rFonts w:cs="Arial"/>
                <w:b w:val="0"/>
                <w:color w:val="auto"/>
                <w:sz w:val="24"/>
                <w:szCs w:val="24"/>
              </w:rPr>
              <w:t xml:space="preserve">Hubs are a variation of the existing MTW services providing specialist led services for Type 1 diabetes patients from </w:t>
            </w:r>
            <w:r w:rsidR="001E1B87">
              <w:rPr>
                <w:rFonts w:cs="Arial"/>
                <w:b w:val="0"/>
                <w:color w:val="auto"/>
                <w:sz w:val="24"/>
                <w:szCs w:val="24"/>
              </w:rPr>
              <w:t>two</w:t>
            </w:r>
            <w:r w:rsidR="001E1B87" w:rsidRPr="00D14C12">
              <w:rPr>
                <w:rFonts w:cs="Arial"/>
                <w:b w:val="0"/>
                <w:color w:val="auto"/>
                <w:sz w:val="24"/>
                <w:szCs w:val="24"/>
              </w:rPr>
              <w:t xml:space="preserve"> </w:t>
            </w:r>
            <w:r w:rsidRPr="00D14C12">
              <w:rPr>
                <w:rFonts w:cs="Arial"/>
                <w:b w:val="0"/>
                <w:color w:val="auto"/>
                <w:sz w:val="24"/>
                <w:szCs w:val="24"/>
              </w:rPr>
              <w:t xml:space="preserve">sites (Abbey Court </w:t>
            </w:r>
            <w:r w:rsidR="001E1B87">
              <w:rPr>
                <w:rFonts w:cs="Arial"/>
                <w:b w:val="0"/>
                <w:color w:val="auto"/>
                <w:sz w:val="24"/>
                <w:szCs w:val="24"/>
              </w:rPr>
              <w:t>and</w:t>
            </w:r>
            <w:r w:rsidR="001E1B87" w:rsidRPr="00D14C12">
              <w:rPr>
                <w:rFonts w:cs="Arial"/>
                <w:b w:val="0"/>
                <w:color w:val="auto"/>
                <w:sz w:val="24"/>
                <w:szCs w:val="24"/>
              </w:rPr>
              <w:t xml:space="preserve"> </w:t>
            </w:r>
            <w:r w:rsidRPr="00D14C12">
              <w:rPr>
                <w:rFonts w:cs="Arial"/>
                <w:b w:val="0"/>
                <w:color w:val="auto"/>
                <w:sz w:val="24"/>
                <w:szCs w:val="24"/>
              </w:rPr>
              <w:t xml:space="preserve">Paula </w:t>
            </w:r>
            <w:proofErr w:type="spellStart"/>
            <w:r w:rsidRPr="00D14C12">
              <w:rPr>
                <w:rFonts w:cs="Arial"/>
                <w:b w:val="0"/>
                <w:color w:val="auto"/>
                <w:sz w:val="24"/>
                <w:szCs w:val="24"/>
              </w:rPr>
              <w:t>Carr</w:t>
            </w:r>
            <w:proofErr w:type="spellEnd"/>
            <w:r w:rsidRPr="00D14C12">
              <w:rPr>
                <w:rFonts w:cs="Arial"/>
                <w:b w:val="0"/>
                <w:color w:val="auto"/>
                <w:sz w:val="24"/>
                <w:szCs w:val="24"/>
              </w:rPr>
              <w:t>).</w:t>
            </w:r>
          </w:p>
          <w:p w:rsidR="00DD2039" w:rsidRPr="00D14C12" w:rsidRDefault="00DD2039" w:rsidP="00DD2039">
            <w:pPr>
              <w:pStyle w:val="Heading2"/>
              <w:ind w:left="720"/>
              <w:outlineLvl w:val="1"/>
              <w:rPr>
                <w:rFonts w:cs="Arial"/>
                <w:b w:val="0"/>
                <w:color w:val="auto"/>
                <w:sz w:val="24"/>
                <w:szCs w:val="24"/>
              </w:rPr>
            </w:pPr>
          </w:p>
          <w:p w:rsidR="00DD2039" w:rsidRPr="00D14C12" w:rsidRDefault="001E1B87" w:rsidP="00DD2039">
            <w:pPr>
              <w:autoSpaceDE w:val="0"/>
              <w:autoSpaceDN w:val="0"/>
              <w:adjustRightInd w:val="0"/>
              <w:rPr>
                <w:rFonts w:cs="Arial"/>
                <w:bCs/>
                <w:szCs w:val="24"/>
              </w:rPr>
            </w:pPr>
            <w:r>
              <w:rPr>
                <w:rFonts w:cs="Arial"/>
                <w:szCs w:val="24"/>
              </w:rPr>
              <w:t>T</w:t>
            </w:r>
            <w:r w:rsidR="00DD2039" w:rsidRPr="00D14C12">
              <w:rPr>
                <w:rFonts w:cs="Arial"/>
                <w:szCs w:val="24"/>
              </w:rPr>
              <w:t xml:space="preserve">he key elements below encompass the combined responsibilities of Maidstone &amp; Tunbridge Wells NHS Trust in partnership with West Kent Health Ltd, West Kent </w:t>
            </w:r>
            <w:r w:rsidR="00DD2039" w:rsidRPr="00D14C12">
              <w:rPr>
                <w:rFonts w:cs="Arial"/>
                <w:szCs w:val="24"/>
              </w:rPr>
              <w:lastRenderedPageBreak/>
              <w:t>CCG and KCHFT.</w:t>
            </w:r>
          </w:p>
          <w:p w:rsidR="00DD2039" w:rsidRPr="00D14C12" w:rsidRDefault="00DD2039" w:rsidP="00DD2039">
            <w:pPr>
              <w:autoSpaceDE w:val="0"/>
              <w:autoSpaceDN w:val="0"/>
              <w:adjustRightInd w:val="0"/>
              <w:rPr>
                <w:rFonts w:cs="Arial"/>
                <w:bCs/>
                <w:szCs w:val="24"/>
              </w:rPr>
            </w:pPr>
          </w:p>
          <w:p w:rsidR="00DD2039" w:rsidRPr="00D14C12" w:rsidRDefault="00DD2039" w:rsidP="00DD2039">
            <w:pPr>
              <w:pStyle w:val="Heading2"/>
              <w:keepNext w:val="0"/>
              <w:keepLines w:val="0"/>
              <w:numPr>
                <w:ilvl w:val="1"/>
                <w:numId w:val="0"/>
              </w:numPr>
              <w:overflowPunct w:val="0"/>
              <w:autoSpaceDE w:val="0"/>
              <w:autoSpaceDN w:val="0"/>
              <w:adjustRightInd w:val="0"/>
              <w:spacing w:before="0" w:after="240"/>
              <w:ind w:left="720" w:hanging="720"/>
              <w:jc w:val="both"/>
              <w:textAlignment w:val="baseline"/>
              <w:outlineLvl w:val="1"/>
              <w:rPr>
                <w:rFonts w:cs="Arial"/>
                <w:color w:val="auto"/>
                <w:sz w:val="24"/>
                <w:szCs w:val="24"/>
              </w:rPr>
            </w:pPr>
            <w:r w:rsidRPr="00D14C12">
              <w:rPr>
                <w:rFonts w:cs="Arial"/>
                <w:color w:val="auto"/>
                <w:sz w:val="24"/>
                <w:szCs w:val="24"/>
              </w:rPr>
              <w:t>Project objectives</w:t>
            </w:r>
          </w:p>
          <w:p w:rsidR="00DD2039" w:rsidRPr="00D14C12" w:rsidRDefault="00DD2039" w:rsidP="00DD2039">
            <w:pPr>
              <w:pStyle w:val="Heading2"/>
              <w:outlineLvl w:val="1"/>
              <w:rPr>
                <w:rFonts w:cs="Arial"/>
                <w:b w:val="0"/>
                <w:color w:val="auto"/>
                <w:sz w:val="24"/>
                <w:szCs w:val="24"/>
              </w:rPr>
            </w:pPr>
            <w:r w:rsidRPr="00D14C12">
              <w:rPr>
                <w:rFonts w:eastAsia="Calibri" w:cs="Arial"/>
                <w:b w:val="0"/>
                <w:color w:val="auto"/>
                <w:sz w:val="24"/>
                <w:szCs w:val="24"/>
              </w:rPr>
              <w:t>The objective of the project is to ensure that MTW and West Kent CCG are able to collaborate, develop and implement a new integrated Diabetes service to deliver quality of care to our patients. For the purpose of this project the following will be undertaken:</w:t>
            </w:r>
          </w:p>
          <w:p w:rsidR="00DD2039" w:rsidRPr="00D14C12" w:rsidRDefault="00DD2039" w:rsidP="00DD2039">
            <w:pPr>
              <w:pStyle w:val="ListParagraph"/>
              <w:numPr>
                <w:ilvl w:val="0"/>
                <w:numId w:val="7"/>
              </w:numPr>
              <w:autoSpaceDE w:val="0"/>
              <w:autoSpaceDN w:val="0"/>
              <w:adjustRightInd w:val="0"/>
              <w:spacing w:after="200"/>
              <w:rPr>
                <w:rFonts w:cs="Arial"/>
                <w:szCs w:val="24"/>
              </w:rPr>
            </w:pPr>
            <w:r w:rsidRPr="00D14C12">
              <w:rPr>
                <w:rFonts w:cs="Arial"/>
                <w:szCs w:val="24"/>
              </w:rPr>
              <w:t>Seek to understand the workforce implications and develop a training programme accordingly.</w:t>
            </w:r>
          </w:p>
          <w:p w:rsidR="00DD2039" w:rsidRPr="00D14C12" w:rsidRDefault="00DD2039" w:rsidP="00DD2039">
            <w:pPr>
              <w:pStyle w:val="ListParagraph"/>
              <w:numPr>
                <w:ilvl w:val="0"/>
                <w:numId w:val="7"/>
              </w:numPr>
              <w:autoSpaceDE w:val="0"/>
              <w:autoSpaceDN w:val="0"/>
              <w:adjustRightInd w:val="0"/>
              <w:rPr>
                <w:rFonts w:cs="Arial"/>
                <w:szCs w:val="24"/>
              </w:rPr>
            </w:pPr>
            <w:r w:rsidRPr="00D14C12">
              <w:rPr>
                <w:rFonts w:cs="Arial"/>
                <w:bCs/>
                <w:szCs w:val="24"/>
              </w:rPr>
              <w:t xml:space="preserve">Improve </w:t>
            </w:r>
            <w:r w:rsidR="001E1B87">
              <w:rPr>
                <w:rFonts w:cs="Arial"/>
                <w:bCs/>
                <w:szCs w:val="24"/>
              </w:rPr>
              <w:t>p</w:t>
            </w:r>
            <w:r w:rsidR="001E1B87" w:rsidRPr="00D14C12">
              <w:rPr>
                <w:rFonts w:cs="Arial"/>
                <w:bCs/>
                <w:szCs w:val="24"/>
              </w:rPr>
              <w:t xml:space="preserve">rimary </w:t>
            </w:r>
            <w:r w:rsidRPr="00D14C12">
              <w:rPr>
                <w:rFonts w:cs="Arial"/>
                <w:bCs/>
                <w:szCs w:val="24"/>
              </w:rPr>
              <w:t xml:space="preserve">care capability through structured training and education and peer support </w:t>
            </w:r>
          </w:p>
          <w:p w:rsidR="00DD2039" w:rsidRPr="00D14C12" w:rsidRDefault="00DD2039" w:rsidP="00DD2039">
            <w:pPr>
              <w:pStyle w:val="ListParagraph"/>
              <w:numPr>
                <w:ilvl w:val="0"/>
                <w:numId w:val="7"/>
              </w:numPr>
              <w:autoSpaceDE w:val="0"/>
              <w:autoSpaceDN w:val="0"/>
              <w:adjustRightInd w:val="0"/>
              <w:rPr>
                <w:rFonts w:cs="Arial"/>
                <w:szCs w:val="24"/>
              </w:rPr>
            </w:pPr>
            <w:r w:rsidRPr="00D14C12">
              <w:rPr>
                <w:rFonts w:cs="Arial"/>
                <w:bCs/>
                <w:szCs w:val="24"/>
              </w:rPr>
              <w:t>Develop an integrated workforce which is fit for the present and future needs of our diabetic population.</w:t>
            </w:r>
          </w:p>
          <w:p w:rsidR="00DD2039" w:rsidRPr="00D14C12" w:rsidRDefault="00DD2039" w:rsidP="00DD2039">
            <w:pPr>
              <w:pStyle w:val="ListParagraph"/>
              <w:numPr>
                <w:ilvl w:val="0"/>
                <w:numId w:val="7"/>
              </w:numPr>
              <w:autoSpaceDE w:val="0"/>
              <w:autoSpaceDN w:val="0"/>
              <w:adjustRightInd w:val="0"/>
              <w:rPr>
                <w:rFonts w:cs="Arial"/>
                <w:bCs/>
                <w:szCs w:val="24"/>
              </w:rPr>
            </w:pPr>
            <w:r w:rsidRPr="00D14C12">
              <w:rPr>
                <w:rFonts w:cs="Arial"/>
                <w:bCs/>
                <w:szCs w:val="24"/>
              </w:rPr>
              <w:t>Generate clinical guidelines for primary care.</w:t>
            </w:r>
          </w:p>
          <w:p w:rsidR="00DD2039" w:rsidRPr="00D14C12" w:rsidRDefault="00DD2039" w:rsidP="00DD2039">
            <w:pPr>
              <w:pStyle w:val="ListParagraph"/>
              <w:numPr>
                <w:ilvl w:val="0"/>
                <w:numId w:val="7"/>
              </w:numPr>
              <w:autoSpaceDE w:val="0"/>
              <w:autoSpaceDN w:val="0"/>
              <w:adjustRightInd w:val="0"/>
              <w:rPr>
                <w:rFonts w:cs="Arial"/>
                <w:szCs w:val="24"/>
              </w:rPr>
            </w:pPr>
            <w:r w:rsidRPr="00D14C12">
              <w:rPr>
                <w:rFonts w:cs="Arial"/>
                <w:szCs w:val="24"/>
              </w:rPr>
              <w:t>Model new ways of working with clear process map and boundaries.</w:t>
            </w:r>
          </w:p>
          <w:p w:rsidR="00DD2039" w:rsidRPr="00D14C12" w:rsidRDefault="00DD2039" w:rsidP="00DD2039">
            <w:pPr>
              <w:pStyle w:val="ListParagraph"/>
              <w:numPr>
                <w:ilvl w:val="0"/>
                <w:numId w:val="7"/>
              </w:numPr>
              <w:autoSpaceDE w:val="0"/>
              <w:autoSpaceDN w:val="0"/>
              <w:adjustRightInd w:val="0"/>
              <w:rPr>
                <w:rFonts w:cs="Arial"/>
                <w:szCs w:val="24"/>
              </w:rPr>
            </w:pPr>
            <w:r w:rsidRPr="00D14C12">
              <w:rPr>
                <w:rFonts w:cs="Arial"/>
                <w:szCs w:val="24"/>
              </w:rPr>
              <w:t>Revise Standard Operating Policy and produce plan(s) to deliver this change programme.</w:t>
            </w:r>
          </w:p>
          <w:p w:rsidR="00DD2039" w:rsidRPr="00D14C12" w:rsidRDefault="00DD2039" w:rsidP="00DD2039">
            <w:pPr>
              <w:pStyle w:val="ListParagraph"/>
              <w:numPr>
                <w:ilvl w:val="0"/>
                <w:numId w:val="7"/>
              </w:numPr>
              <w:autoSpaceDE w:val="0"/>
              <w:autoSpaceDN w:val="0"/>
              <w:adjustRightInd w:val="0"/>
              <w:rPr>
                <w:rFonts w:cs="Arial"/>
                <w:szCs w:val="24"/>
              </w:rPr>
            </w:pPr>
            <w:r w:rsidRPr="00D14C12">
              <w:rPr>
                <w:rFonts w:cs="Arial"/>
                <w:szCs w:val="24"/>
              </w:rPr>
              <w:t>Create an IT vision and road map.</w:t>
            </w:r>
          </w:p>
          <w:p w:rsidR="00DD2039" w:rsidRPr="00D14C12" w:rsidRDefault="00DD2039" w:rsidP="00DD2039">
            <w:pPr>
              <w:pStyle w:val="ListParagraph"/>
              <w:numPr>
                <w:ilvl w:val="0"/>
                <w:numId w:val="7"/>
              </w:numPr>
              <w:autoSpaceDE w:val="0"/>
              <w:autoSpaceDN w:val="0"/>
              <w:adjustRightInd w:val="0"/>
              <w:rPr>
                <w:rFonts w:cs="Arial"/>
                <w:szCs w:val="24"/>
              </w:rPr>
            </w:pPr>
            <w:r w:rsidRPr="00D14C12">
              <w:rPr>
                <w:rFonts w:cs="Arial"/>
                <w:szCs w:val="24"/>
              </w:rPr>
              <w:t>Set clear KPIs and automated methods in capturing business intelligence to allow for a proactive response to any deviation from the desired target.</w:t>
            </w:r>
          </w:p>
          <w:p w:rsidR="00DD2039" w:rsidRPr="00D14C12" w:rsidRDefault="00DD2039" w:rsidP="00DD2039">
            <w:pPr>
              <w:pStyle w:val="ListParagraph"/>
              <w:numPr>
                <w:ilvl w:val="0"/>
                <w:numId w:val="7"/>
              </w:numPr>
              <w:autoSpaceDE w:val="0"/>
              <w:autoSpaceDN w:val="0"/>
              <w:adjustRightInd w:val="0"/>
              <w:rPr>
                <w:rFonts w:cs="Arial"/>
                <w:szCs w:val="24"/>
              </w:rPr>
            </w:pPr>
            <w:r w:rsidRPr="00D14C12">
              <w:rPr>
                <w:rFonts w:cs="Arial"/>
                <w:bCs/>
                <w:szCs w:val="24"/>
              </w:rPr>
              <w:t>Improve patient experience by increasing access to improved services delivered, i.e. care closer to home.</w:t>
            </w:r>
          </w:p>
          <w:p w:rsidR="00DD2039" w:rsidRPr="00D14C12" w:rsidRDefault="00DD2039" w:rsidP="00DD2039">
            <w:pPr>
              <w:pStyle w:val="ListParagraph"/>
              <w:autoSpaceDE w:val="0"/>
              <w:autoSpaceDN w:val="0"/>
              <w:adjustRightInd w:val="0"/>
              <w:rPr>
                <w:rFonts w:cs="Arial"/>
                <w:szCs w:val="24"/>
              </w:rPr>
            </w:pPr>
          </w:p>
          <w:p w:rsidR="00DD2039" w:rsidRPr="00D14C12" w:rsidRDefault="00DD2039" w:rsidP="00DD2039">
            <w:pPr>
              <w:pStyle w:val="Heading2"/>
              <w:keepNext w:val="0"/>
              <w:keepLines w:val="0"/>
              <w:numPr>
                <w:ilvl w:val="1"/>
                <w:numId w:val="0"/>
              </w:numPr>
              <w:overflowPunct w:val="0"/>
              <w:autoSpaceDE w:val="0"/>
              <w:autoSpaceDN w:val="0"/>
              <w:adjustRightInd w:val="0"/>
              <w:spacing w:before="0" w:after="240"/>
              <w:ind w:left="720" w:hanging="720"/>
              <w:jc w:val="both"/>
              <w:textAlignment w:val="baseline"/>
              <w:outlineLvl w:val="1"/>
              <w:rPr>
                <w:rFonts w:cs="Arial"/>
                <w:color w:val="auto"/>
                <w:sz w:val="24"/>
                <w:szCs w:val="24"/>
              </w:rPr>
            </w:pPr>
            <w:r w:rsidRPr="00D14C12">
              <w:rPr>
                <w:rFonts w:cs="Arial"/>
                <w:color w:val="auto"/>
                <w:sz w:val="24"/>
                <w:szCs w:val="24"/>
              </w:rPr>
              <w:t>Project scope and exclusions</w:t>
            </w:r>
          </w:p>
          <w:p w:rsidR="00DD2039" w:rsidRPr="00D14C12" w:rsidRDefault="00DD2039" w:rsidP="00DD2039">
            <w:pPr>
              <w:autoSpaceDE w:val="0"/>
              <w:autoSpaceDN w:val="0"/>
              <w:adjustRightInd w:val="0"/>
              <w:rPr>
                <w:rFonts w:cs="Arial"/>
                <w:bCs/>
                <w:szCs w:val="24"/>
              </w:rPr>
            </w:pPr>
            <w:r w:rsidRPr="00D14C12">
              <w:rPr>
                <w:rFonts w:cs="Arial"/>
                <w:bCs/>
                <w:szCs w:val="24"/>
              </w:rPr>
              <w:t xml:space="preserve">The project scope will include the delivery of the objectives in both </w:t>
            </w:r>
            <w:r w:rsidR="00AD4E84">
              <w:rPr>
                <w:rFonts w:cs="Arial"/>
                <w:bCs/>
                <w:szCs w:val="24"/>
              </w:rPr>
              <w:t>p</w:t>
            </w:r>
            <w:r w:rsidR="00AD4E84" w:rsidRPr="00D14C12">
              <w:rPr>
                <w:rFonts w:cs="Arial"/>
                <w:bCs/>
                <w:szCs w:val="24"/>
              </w:rPr>
              <w:t xml:space="preserve">rimary </w:t>
            </w:r>
            <w:r w:rsidRPr="00D14C12">
              <w:rPr>
                <w:rFonts w:cs="Arial"/>
                <w:bCs/>
                <w:szCs w:val="24"/>
              </w:rPr>
              <w:t xml:space="preserve">and </w:t>
            </w:r>
            <w:r w:rsidR="00AD4E84">
              <w:rPr>
                <w:rFonts w:cs="Arial"/>
                <w:bCs/>
                <w:szCs w:val="24"/>
              </w:rPr>
              <w:t>s</w:t>
            </w:r>
            <w:r w:rsidR="00AD4E84" w:rsidRPr="00D14C12">
              <w:rPr>
                <w:rFonts w:cs="Arial"/>
                <w:bCs/>
                <w:szCs w:val="24"/>
              </w:rPr>
              <w:t xml:space="preserve">econdary </w:t>
            </w:r>
            <w:r w:rsidRPr="00D14C12">
              <w:rPr>
                <w:rFonts w:cs="Arial"/>
                <w:bCs/>
                <w:szCs w:val="24"/>
              </w:rPr>
              <w:t xml:space="preserve">care in relation to </w:t>
            </w:r>
            <w:r w:rsidR="00AD4E84">
              <w:rPr>
                <w:rFonts w:cs="Arial"/>
                <w:bCs/>
                <w:szCs w:val="24"/>
              </w:rPr>
              <w:t>d</w:t>
            </w:r>
            <w:r w:rsidR="00AD4E84" w:rsidRPr="00D14C12">
              <w:rPr>
                <w:rFonts w:cs="Arial"/>
                <w:bCs/>
                <w:szCs w:val="24"/>
              </w:rPr>
              <w:t xml:space="preserve">iabetic </w:t>
            </w:r>
            <w:r w:rsidRPr="00D14C12">
              <w:rPr>
                <w:rFonts w:cs="Arial"/>
                <w:bCs/>
                <w:szCs w:val="24"/>
              </w:rPr>
              <w:t>patients.  A key enabler to the project will be the implementation of technology to support the objectives.</w:t>
            </w:r>
          </w:p>
          <w:p w:rsidR="00DD2039" w:rsidRPr="00D14C12" w:rsidRDefault="00DD2039" w:rsidP="00DD2039">
            <w:pPr>
              <w:autoSpaceDE w:val="0"/>
              <w:autoSpaceDN w:val="0"/>
              <w:adjustRightInd w:val="0"/>
              <w:rPr>
                <w:rFonts w:cs="Arial"/>
                <w:bCs/>
                <w:szCs w:val="24"/>
              </w:rPr>
            </w:pPr>
          </w:p>
          <w:p w:rsidR="00DD2039" w:rsidRPr="00D14C12" w:rsidRDefault="00DD2039" w:rsidP="00DD2039">
            <w:pPr>
              <w:autoSpaceDE w:val="0"/>
              <w:autoSpaceDN w:val="0"/>
              <w:adjustRightInd w:val="0"/>
              <w:rPr>
                <w:rFonts w:cs="Arial"/>
                <w:b/>
                <w:szCs w:val="24"/>
              </w:rPr>
            </w:pPr>
            <w:r w:rsidRPr="00D14C12">
              <w:rPr>
                <w:rFonts w:cs="Arial"/>
                <w:b/>
                <w:szCs w:val="24"/>
              </w:rPr>
              <w:t xml:space="preserve"> Technology Enablers</w:t>
            </w:r>
          </w:p>
          <w:p w:rsidR="00DD2039" w:rsidRPr="00D14C12" w:rsidRDefault="00DD2039" w:rsidP="00DD2039">
            <w:pPr>
              <w:autoSpaceDE w:val="0"/>
              <w:autoSpaceDN w:val="0"/>
              <w:adjustRightInd w:val="0"/>
              <w:rPr>
                <w:rFonts w:cs="Arial"/>
                <w:szCs w:val="24"/>
                <w:u w:val="single"/>
              </w:rPr>
            </w:pPr>
          </w:p>
          <w:p w:rsidR="00DD2039" w:rsidRDefault="00DD2039" w:rsidP="00DD2039">
            <w:pPr>
              <w:pStyle w:val="ListParagraph"/>
              <w:numPr>
                <w:ilvl w:val="0"/>
                <w:numId w:val="8"/>
              </w:numPr>
              <w:jc w:val="both"/>
              <w:rPr>
                <w:rFonts w:cs="Arial"/>
                <w:szCs w:val="24"/>
              </w:rPr>
            </w:pPr>
            <w:r w:rsidRPr="00D14C12">
              <w:rPr>
                <w:rFonts w:cs="Arial"/>
                <w:szCs w:val="24"/>
              </w:rPr>
              <w:t>A comprehensive IT solution is required to allow clinicians to find, read and update any patient record quickly and easily. Where a spoke practice needs the support of a Trust DSN or Consultant, the DSN or Consultant should have the ability to review the patient’s complete record in order to provide that support. Conversely, where a patient is transferred from the hub back to a spoke, the patient record will be automatically updated with the relevant information.</w:t>
            </w:r>
          </w:p>
          <w:p w:rsidR="00AD4E84" w:rsidRPr="00D14C12" w:rsidRDefault="00AD4E84" w:rsidP="00D14C12">
            <w:pPr>
              <w:pStyle w:val="ListParagraph"/>
              <w:jc w:val="both"/>
              <w:rPr>
                <w:rFonts w:cs="Arial"/>
                <w:szCs w:val="24"/>
              </w:rPr>
            </w:pPr>
          </w:p>
          <w:p w:rsidR="00AD4E84" w:rsidRDefault="00DD2039" w:rsidP="00DD2039">
            <w:pPr>
              <w:autoSpaceDE w:val="0"/>
              <w:autoSpaceDN w:val="0"/>
              <w:adjustRightInd w:val="0"/>
              <w:rPr>
                <w:rFonts w:cs="Arial"/>
                <w:b/>
                <w:bCs/>
                <w:szCs w:val="24"/>
              </w:rPr>
            </w:pPr>
            <w:r w:rsidRPr="00D14C12">
              <w:rPr>
                <w:rFonts w:cs="Arial"/>
                <w:b/>
                <w:bCs/>
                <w:szCs w:val="24"/>
              </w:rPr>
              <w:t>Key features</w:t>
            </w:r>
          </w:p>
          <w:p w:rsidR="00DD2039" w:rsidRPr="00D14C12" w:rsidRDefault="00DD2039" w:rsidP="00DD2039">
            <w:pPr>
              <w:pStyle w:val="ListParagraph"/>
              <w:numPr>
                <w:ilvl w:val="0"/>
                <w:numId w:val="10"/>
              </w:numPr>
              <w:jc w:val="both"/>
              <w:rPr>
                <w:rFonts w:cs="Arial"/>
                <w:szCs w:val="24"/>
              </w:rPr>
            </w:pPr>
            <w:r w:rsidRPr="00D14C12">
              <w:rPr>
                <w:rFonts w:cs="Arial"/>
                <w:szCs w:val="24"/>
              </w:rPr>
              <w:t>Referrals triaged at a single point of access by a Diabetes Specialist Nurse to ensure patients are directed to the most appropriate clinician.</w:t>
            </w:r>
          </w:p>
          <w:p w:rsidR="00DD2039" w:rsidRPr="00D14C12" w:rsidRDefault="00DD2039" w:rsidP="00DD2039">
            <w:pPr>
              <w:pStyle w:val="ListParagraph"/>
              <w:numPr>
                <w:ilvl w:val="0"/>
                <w:numId w:val="10"/>
              </w:numPr>
              <w:jc w:val="both"/>
              <w:rPr>
                <w:rFonts w:cs="Arial"/>
                <w:szCs w:val="24"/>
              </w:rPr>
            </w:pPr>
            <w:r w:rsidRPr="00D14C12">
              <w:rPr>
                <w:rFonts w:cs="Arial"/>
                <w:szCs w:val="24"/>
              </w:rPr>
              <w:t xml:space="preserve">All Type 2 diabetes patients will be managed by an upskilled Primary Care organised into </w:t>
            </w:r>
            <w:r w:rsidR="00AD4E84">
              <w:rPr>
                <w:rFonts w:cs="Arial"/>
                <w:szCs w:val="24"/>
              </w:rPr>
              <w:t>c</w:t>
            </w:r>
            <w:r w:rsidR="00AD4E84" w:rsidRPr="00D14C12">
              <w:rPr>
                <w:rFonts w:cs="Arial"/>
                <w:szCs w:val="24"/>
              </w:rPr>
              <w:t xml:space="preserve">lusters </w:t>
            </w:r>
            <w:r w:rsidRPr="00D14C12">
              <w:rPr>
                <w:rFonts w:cs="Arial"/>
                <w:szCs w:val="24"/>
              </w:rPr>
              <w:t xml:space="preserve">co-ordinated by </w:t>
            </w:r>
            <w:r w:rsidR="00AD4E84" w:rsidRPr="001E1B87">
              <w:rPr>
                <w:rFonts w:cs="Arial"/>
                <w:szCs w:val="24"/>
              </w:rPr>
              <w:t>the GP</w:t>
            </w:r>
            <w:r w:rsidRPr="00D14C12">
              <w:rPr>
                <w:rFonts w:cs="Arial"/>
                <w:szCs w:val="24"/>
              </w:rPr>
              <w:t xml:space="preserve"> Federation.</w:t>
            </w:r>
          </w:p>
          <w:p w:rsidR="00DD2039" w:rsidRPr="00D14C12" w:rsidRDefault="00DD2039" w:rsidP="00DD2039">
            <w:pPr>
              <w:pStyle w:val="ListParagraph"/>
              <w:numPr>
                <w:ilvl w:val="0"/>
                <w:numId w:val="10"/>
              </w:numPr>
              <w:jc w:val="both"/>
              <w:rPr>
                <w:rFonts w:cs="Arial"/>
                <w:szCs w:val="24"/>
              </w:rPr>
            </w:pPr>
            <w:r w:rsidRPr="00D14C12">
              <w:rPr>
                <w:rFonts w:cs="Arial"/>
                <w:szCs w:val="24"/>
              </w:rPr>
              <w:t xml:space="preserve">All Type 1 diabetes, </w:t>
            </w:r>
            <w:r w:rsidR="00AD4E84">
              <w:rPr>
                <w:rFonts w:cs="Arial"/>
                <w:szCs w:val="24"/>
              </w:rPr>
              <w:t>y</w:t>
            </w:r>
            <w:r w:rsidR="00AD4E84" w:rsidRPr="00D14C12">
              <w:rPr>
                <w:rFonts w:cs="Arial"/>
                <w:szCs w:val="24"/>
              </w:rPr>
              <w:t xml:space="preserve">oung </w:t>
            </w:r>
            <w:r w:rsidR="00AD4E84">
              <w:rPr>
                <w:rFonts w:cs="Arial"/>
                <w:szCs w:val="24"/>
              </w:rPr>
              <w:t>a</w:t>
            </w:r>
            <w:r w:rsidR="00AD4E84" w:rsidRPr="00D14C12">
              <w:rPr>
                <w:rFonts w:cs="Arial"/>
                <w:szCs w:val="24"/>
              </w:rPr>
              <w:t>dults</w:t>
            </w:r>
            <w:r w:rsidRPr="00D14C12">
              <w:rPr>
                <w:rFonts w:cs="Arial"/>
                <w:szCs w:val="24"/>
              </w:rPr>
              <w:t xml:space="preserve">, </w:t>
            </w:r>
            <w:r w:rsidR="00AD4E84">
              <w:rPr>
                <w:rFonts w:cs="Arial"/>
                <w:szCs w:val="24"/>
              </w:rPr>
              <w:t>p</w:t>
            </w:r>
            <w:r w:rsidR="00AD4E84" w:rsidRPr="00D14C12">
              <w:rPr>
                <w:rFonts w:cs="Arial"/>
                <w:szCs w:val="24"/>
              </w:rPr>
              <w:t xml:space="preserve">reconception </w:t>
            </w:r>
            <w:r w:rsidR="00AD4E84">
              <w:rPr>
                <w:rFonts w:cs="Arial"/>
                <w:szCs w:val="24"/>
              </w:rPr>
              <w:t>p</w:t>
            </w:r>
            <w:r w:rsidR="00AD4E84" w:rsidRPr="00D14C12">
              <w:rPr>
                <w:rFonts w:cs="Arial"/>
                <w:szCs w:val="24"/>
              </w:rPr>
              <w:t xml:space="preserve">lanning </w:t>
            </w:r>
            <w:r w:rsidRPr="00D14C12">
              <w:rPr>
                <w:rFonts w:cs="Arial"/>
                <w:szCs w:val="24"/>
              </w:rPr>
              <w:t xml:space="preserve">and follow-ups to non-elective admissions will be managed by </w:t>
            </w:r>
            <w:r w:rsidR="00AD4E84">
              <w:rPr>
                <w:rFonts w:cs="Arial"/>
                <w:szCs w:val="24"/>
              </w:rPr>
              <w:t>s</w:t>
            </w:r>
            <w:r w:rsidR="00AD4E84" w:rsidRPr="00D14C12">
              <w:rPr>
                <w:rFonts w:cs="Arial"/>
                <w:szCs w:val="24"/>
              </w:rPr>
              <w:t xml:space="preserve">econdary </w:t>
            </w:r>
            <w:r w:rsidRPr="00D14C12">
              <w:rPr>
                <w:rFonts w:cs="Arial"/>
                <w:szCs w:val="24"/>
              </w:rPr>
              <w:t>care.</w:t>
            </w:r>
          </w:p>
          <w:p w:rsidR="00DD2039" w:rsidRPr="00B36437" w:rsidRDefault="00DD2039" w:rsidP="00DD2039">
            <w:pPr>
              <w:pStyle w:val="ListParagraph"/>
              <w:numPr>
                <w:ilvl w:val="0"/>
                <w:numId w:val="10"/>
              </w:numPr>
              <w:jc w:val="both"/>
              <w:rPr>
                <w:rFonts w:cs="Arial"/>
                <w:szCs w:val="24"/>
              </w:rPr>
            </w:pPr>
            <w:r w:rsidRPr="00D14C12">
              <w:rPr>
                <w:rFonts w:cs="Arial"/>
                <w:szCs w:val="24"/>
              </w:rPr>
              <w:t xml:space="preserve">Level 2 practices will have access to EDEN (Effective Diabetes Education Training Now) training courses delivered by MTW staff, and access to DSN </w:t>
            </w:r>
            <w:r w:rsidRPr="00B36437">
              <w:rPr>
                <w:rFonts w:cs="Arial"/>
                <w:szCs w:val="24"/>
              </w:rPr>
              <w:t xml:space="preserve">and Consultant support. </w:t>
            </w:r>
          </w:p>
          <w:p w:rsidR="00D14C12" w:rsidRDefault="00D14C12" w:rsidP="00DD2039">
            <w:pPr>
              <w:autoSpaceDE w:val="0"/>
              <w:autoSpaceDN w:val="0"/>
              <w:adjustRightInd w:val="0"/>
              <w:rPr>
                <w:rFonts w:cs="Arial"/>
                <w:b/>
                <w:bCs/>
                <w:szCs w:val="24"/>
              </w:rPr>
            </w:pPr>
          </w:p>
          <w:p w:rsidR="00DD2039" w:rsidRPr="00D14C12" w:rsidRDefault="00DD2039" w:rsidP="00DD2039">
            <w:pPr>
              <w:autoSpaceDE w:val="0"/>
              <w:autoSpaceDN w:val="0"/>
              <w:adjustRightInd w:val="0"/>
              <w:rPr>
                <w:rFonts w:cs="Arial"/>
                <w:b/>
                <w:bCs/>
                <w:szCs w:val="24"/>
              </w:rPr>
            </w:pPr>
            <w:r w:rsidRPr="00D14C12">
              <w:rPr>
                <w:rFonts w:cs="Arial"/>
                <w:b/>
                <w:bCs/>
                <w:szCs w:val="24"/>
              </w:rPr>
              <w:lastRenderedPageBreak/>
              <w:t>Key stakeholders</w:t>
            </w:r>
          </w:p>
          <w:p w:rsidR="00AD4E84" w:rsidRPr="00D14C12" w:rsidRDefault="00AD4E84" w:rsidP="00DD2039">
            <w:pPr>
              <w:autoSpaceDE w:val="0"/>
              <w:autoSpaceDN w:val="0"/>
              <w:adjustRightInd w:val="0"/>
              <w:rPr>
                <w:rFonts w:cs="Arial"/>
                <w:bCs/>
                <w:szCs w:val="24"/>
                <w:u w:val="single"/>
              </w:rPr>
            </w:pPr>
          </w:p>
          <w:p w:rsidR="00DD2039" w:rsidRPr="00D14C12" w:rsidRDefault="00DD2039" w:rsidP="00DD2039">
            <w:pPr>
              <w:pStyle w:val="ListParagraph"/>
              <w:numPr>
                <w:ilvl w:val="0"/>
                <w:numId w:val="13"/>
              </w:numPr>
              <w:autoSpaceDE w:val="0"/>
              <w:autoSpaceDN w:val="0"/>
              <w:adjustRightInd w:val="0"/>
              <w:rPr>
                <w:rFonts w:cs="Arial"/>
                <w:bCs/>
                <w:szCs w:val="24"/>
              </w:rPr>
            </w:pPr>
            <w:r w:rsidRPr="00D14C12">
              <w:rPr>
                <w:rFonts w:cs="Arial"/>
                <w:bCs/>
                <w:szCs w:val="24"/>
              </w:rPr>
              <w:t xml:space="preserve">Consultant </w:t>
            </w:r>
            <w:proofErr w:type="spellStart"/>
            <w:r w:rsidRPr="00D14C12">
              <w:rPr>
                <w:rFonts w:cs="Arial"/>
                <w:bCs/>
                <w:szCs w:val="24"/>
              </w:rPr>
              <w:t>Diabetologist</w:t>
            </w:r>
            <w:proofErr w:type="spellEnd"/>
            <w:r w:rsidRPr="00D14C12">
              <w:rPr>
                <w:rFonts w:cs="Arial"/>
                <w:bCs/>
                <w:szCs w:val="24"/>
              </w:rPr>
              <w:t xml:space="preserve"> and Clinical Lead (MTW)</w:t>
            </w:r>
          </w:p>
          <w:p w:rsidR="00DD2039" w:rsidRPr="00D14C12" w:rsidRDefault="00DD2039" w:rsidP="00DD2039">
            <w:pPr>
              <w:pStyle w:val="ListParagraph"/>
              <w:numPr>
                <w:ilvl w:val="0"/>
                <w:numId w:val="11"/>
              </w:numPr>
              <w:autoSpaceDE w:val="0"/>
              <w:autoSpaceDN w:val="0"/>
              <w:adjustRightInd w:val="0"/>
              <w:rPr>
                <w:rFonts w:cs="Arial"/>
                <w:bCs/>
                <w:szCs w:val="24"/>
              </w:rPr>
            </w:pPr>
            <w:r w:rsidRPr="00D14C12">
              <w:rPr>
                <w:rFonts w:cs="Arial"/>
                <w:bCs/>
                <w:szCs w:val="24"/>
              </w:rPr>
              <w:t>Diabetes Specialist Nurse (MTW) &amp; Lead Dietician (MTW)</w:t>
            </w:r>
          </w:p>
          <w:p w:rsidR="00DD2039" w:rsidRPr="00D14C12" w:rsidRDefault="00DD2039" w:rsidP="00DD2039">
            <w:pPr>
              <w:pStyle w:val="ListParagraph"/>
              <w:numPr>
                <w:ilvl w:val="0"/>
                <w:numId w:val="11"/>
              </w:numPr>
              <w:autoSpaceDE w:val="0"/>
              <w:autoSpaceDN w:val="0"/>
              <w:adjustRightInd w:val="0"/>
              <w:rPr>
                <w:rFonts w:cs="Arial"/>
                <w:bCs/>
                <w:szCs w:val="24"/>
              </w:rPr>
            </w:pPr>
            <w:r w:rsidRPr="00D14C12">
              <w:rPr>
                <w:rFonts w:cs="Arial"/>
                <w:bCs/>
                <w:szCs w:val="24"/>
              </w:rPr>
              <w:t>AGM Diabetes (MTW)</w:t>
            </w:r>
          </w:p>
          <w:p w:rsidR="00DD2039" w:rsidRPr="00D14C12" w:rsidRDefault="00DD2039" w:rsidP="00DD2039">
            <w:pPr>
              <w:pStyle w:val="ListParagraph"/>
              <w:numPr>
                <w:ilvl w:val="0"/>
                <w:numId w:val="11"/>
              </w:numPr>
              <w:autoSpaceDE w:val="0"/>
              <w:autoSpaceDN w:val="0"/>
              <w:adjustRightInd w:val="0"/>
              <w:rPr>
                <w:rFonts w:cs="Arial"/>
                <w:bCs/>
                <w:szCs w:val="24"/>
              </w:rPr>
            </w:pPr>
            <w:r w:rsidRPr="00D14C12">
              <w:rPr>
                <w:rFonts w:cs="Arial"/>
                <w:bCs/>
                <w:szCs w:val="24"/>
              </w:rPr>
              <w:t xml:space="preserve">GP </w:t>
            </w:r>
            <w:r w:rsidR="00AD4E84">
              <w:rPr>
                <w:rFonts w:cs="Arial"/>
                <w:bCs/>
                <w:szCs w:val="24"/>
              </w:rPr>
              <w:t>and</w:t>
            </w:r>
            <w:r w:rsidR="00AD4E84" w:rsidRPr="00D14C12">
              <w:rPr>
                <w:rFonts w:cs="Arial"/>
                <w:bCs/>
                <w:szCs w:val="24"/>
              </w:rPr>
              <w:t xml:space="preserve"> </w:t>
            </w:r>
            <w:r w:rsidRPr="00D14C12">
              <w:rPr>
                <w:rFonts w:cs="Arial"/>
                <w:bCs/>
                <w:szCs w:val="24"/>
              </w:rPr>
              <w:t>Management Representative from West Kent Health Ltd</w:t>
            </w:r>
          </w:p>
          <w:p w:rsidR="00DD2039" w:rsidRPr="00D14C12" w:rsidRDefault="00DD2039" w:rsidP="00DD2039">
            <w:pPr>
              <w:pStyle w:val="ListParagraph"/>
              <w:numPr>
                <w:ilvl w:val="0"/>
                <w:numId w:val="11"/>
              </w:numPr>
              <w:autoSpaceDE w:val="0"/>
              <w:autoSpaceDN w:val="0"/>
              <w:adjustRightInd w:val="0"/>
              <w:rPr>
                <w:rFonts w:cs="Arial"/>
                <w:bCs/>
                <w:szCs w:val="24"/>
              </w:rPr>
            </w:pPr>
            <w:r w:rsidRPr="00D14C12">
              <w:rPr>
                <w:rFonts w:cs="Arial"/>
                <w:bCs/>
                <w:szCs w:val="24"/>
              </w:rPr>
              <w:t>Head of Community Nursing (KCHFT)</w:t>
            </w:r>
          </w:p>
          <w:p w:rsidR="00DD2039" w:rsidRPr="00D14C12" w:rsidRDefault="00DD2039" w:rsidP="00DD2039">
            <w:pPr>
              <w:pStyle w:val="ListParagraph"/>
              <w:numPr>
                <w:ilvl w:val="0"/>
                <w:numId w:val="11"/>
              </w:numPr>
              <w:autoSpaceDE w:val="0"/>
              <w:autoSpaceDN w:val="0"/>
              <w:adjustRightInd w:val="0"/>
              <w:rPr>
                <w:rFonts w:cs="Arial"/>
                <w:bCs/>
                <w:szCs w:val="24"/>
              </w:rPr>
            </w:pPr>
            <w:r w:rsidRPr="00D14C12">
              <w:rPr>
                <w:rFonts w:cs="Arial"/>
                <w:bCs/>
                <w:szCs w:val="24"/>
              </w:rPr>
              <w:t>Head of Podiatry (KCHFT)</w:t>
            </w:r>
          </w:p>
          <w:p w:rsidR="00DD2039" w:rsidRPr="00D14C12" w:rsidRDefault="00DD2039" w:rsidP="00DD2039">
            <w:pPr>
              <w:pStyle w:val="ListParagraph"/>
              <w:numPr>
                <w:ilvl w:val="0"/>
                <w:numId w:val="11"/>
              </w:numPr>
              <w:autoSpaceDE w:val="0"/>
              <w:autoSpaceDN w:val="0"/>
              <w:adjustRightInd w:val="0"/>
              <w:rPr>
                <w:rFonts w:cs="Arial"/>
                <w:bCs/>
                <w:szCs w:val="24"/>
              </w:rPr>
            </w:pPr>
            <w:r w:rsidRPr="00D14C12">
              <w:rPr>
                <w:rFonts w:cs="Arial"/>
                <w:bCs/>
                <w:szCs w:val="24"/>
              </w:rPr>
              <w:t>IT lead from WKCCG</w:t>
            </w:r>
          </w:p>
          <w:p w:rsidR="00DD2039" w:rsidRPr="00D14C12" w:rsidRDefault="00DD2039" w:rsidP="00DD2039">
            <w:pPr>
              <w:pStyle w:val="ListParagraph"/>
              <w:numPr>
                <w:ilvl w:val="0"/>
                <w:numId w:val="11"/>
              </w:numPr>
              <w:autoSpaceDE w:val="0"/>
              <w:autoSpaceDN w:val="0"/>
              <w:adjustRightInd w:val="0"/>
              <w:rPr>
                <w:rFonts w:cs="Arial"/>
                <w:bCs/>
                <w:szCs w:val="24"/>
              </w:rPr>
            </w:pPr>
            <w:r w:rsidRPr="00D14C12">
              <w:rPr>
                <w:rFonts w:cs="Arial"/>
                <w:bCs/>
                <w:szCs w:val="24"/>
              </w:rPr>
              <w:t>Commissioning Manager (WKCCG)</w:t>
            </w:r>
          </w:p>
          <w:p w:rsidR="00DD2039" w:rsidRPr="00D14C12" w:rsidRDefault="00DD2039" w:rsidP="00DD2039">
            <w:pPr>
              <w:pStyle w:val="ListParagraph"/>
              <w:numPr>
                <w:ilvl w:val="0"/>
                <w:numId w:val="11"/>
              </w:numPr>
              <w:autoSpaceDE w:val="0"/>
              <w:autoSpaceDN w:val="0"/>
              <w:adjustRightInd w:val="0"/>
              <w:rPr>
                <w:rFonts w:cs="Arial"/>
                <w:bCs/>
                <w:szCs w:val="24"/>
              </w:rPr>
            </w:pPr>
            <w:r w:rsidRPr="00D14C12">
              <w:rPr>
                <w:rFonts w:cs="Arial"/>
                <w:bCs/>
                <w:szCs w:val="24"/>
              </w:rPr>
              <w:t>Programme Support (MTW and WKCCG)</w:t>
            </w:r>
          </w:p>
          <w:p w:rsidR="00F44293" w:rsidRPr="002208D2" w:rsidRDefault="00F44293" w:rsidP="00A27DD4">
            <w:pPr>
              <w:rPr>
                <w:rFonts w:cs="Arial"/>
                <w:szCs w:val="24"/>
              </w:rPr>
            </w:pPr>
          </w:p>
          <w:p w:rsidR="001B10A7" w:rsidRDefault="00AD4E84" w:rsidP="00A27DD4">
            <w:pPr>
              <w:rPr>
                <w:rFonts w:cs="Arial"/>
                <w:szCs w:val="24"/>
              </w:rPr>
            </w:pPr>
            <w:r>
              <w:rPr>
                <w:rFonts w:cs="Arial"/>
                <w:szCs w:val="24"/>
              </w:rPr>
              <w:t xml:space="preserve">A </w:t>
            </w:r>
            <w:r w:rsidR="00646FAE" w:rsidRPr="002208D2">
              <w:rPr>
                <w:rFonts w:cs="Arial"/>
                <w:szCs w:val="24"/>
              </w:rPr>
              <w:t xml:space="preserve">DPIA </w:t>
            </w:r>
            <w:r>
              <w:rPr>
                <w:rFonts w:cs="Arial"/>
                <w:szCs w:val="24"/>
              </w:rPr>
              <w:t xml:space="preserve">is </w:t>
            </w:r>
            <w:r w:rsidR="00646FAE" w:rsidRPr="002208D2">
              <w:rPr>
                <w:rFonts w:cs="Arial"/>
                <w:szCs w:val="24"/>
              </w:rPr>
              <w:t xml:space="preserve">required as patient health data, via referrals, </w:t>
            </w:r>
            <w:r>
              <w:rPr>
                <w:rFonts w:cs="Arial"/>
                <w:szCs w:val="24"/>
              </w:rPr>
              <w:t xml:space="preserve">is </w:t>
            </w:r>
            <w:r w:rsidR="00646FAE" w:rsidRPr="002208D2">
              <w:rPr>
                <w:rFonts w:cs="Arial"/>
                <w:szCs w:val="24"/>
              </w:rPr>
              <w:t xml:space="preserve">being shared and processed by upskilled primary care providers </w:t>
            </w:r>
            <w:r w:rsidR="007473ED">
              <w:rPr>
                <w:rFonts w:cs="Arial"/>
                <w:szCs w:val="24"/>
              </w:rPr>
              <w:t>employed</w:t>
            </w:r>
            <w:r w:rsidR="007473ED" w:rsidRPr="002208D2">
              <w:rPr>
                <w:rFonts w:cs="Arial"/>
                <w:szCs w:val="24"/>
              </w:rPr>
              <w:t xml:space="preserve"> </w:t>
            </w:r>
            <w:r w:rsidR="00646FAE" w:rsidRPr="002208D2">
              <w:rPr>
                <w:rFonts w:cs="Arial"/>
                <w:szCs w:val="24"/>
              </w:rPr>
              <w:t>by the GP federation</w:t>
            </w:r>
            <w:r w:rsidR="00646FAE" w:rsidRPr="00D9680A">
              <w:rPr>
                <w:rFonts w:cs="Arial"/>
                <w:szCs w:val="24"/>
              </w:rPr>
              <w:t>.</w:t>
            </w:r>
            <w:r w:rsidR="007473ED">
              <w:rPr>
                <w:rFonts w:cs="Arial"/>
                <w:szCs w:val="24"/>
              </w:rPr>
              <w:t xml:space="preserve"> The data collected and processed is broadly the same as per the current service – the communities diabetes requires the introduction of new systems to allow </w:t>
            </w:r>
            <w:r w:rsidR="00EA4870">
              <w:rPr>
                <w:rFonts w:cs="Arial"/>
                <w:szCs w:val="24"/>
              </w:rPr>
              <w:t xml:space="preserve">referral, triage and </w:t>
            </w:r>
            <w:r w:rsidR="007473ED">
              <w:rPr>
                <w:rFonts w:cs="Arial"/>
                <w:szCs w:val="24"/>
              </w:rPr>
              <w:t xml:space="preserve">appointment booking in hub and spoke locations and use individual GP clinical systems to be the primary data source. The individual systems will use a software package to provide </w:t>
            </w:r>
            <w:r w:rsidR="00EA4870">
              <w:rPr>
                <w:rFonts w:cs="Arial"/>
                <w:szCs w:val="24"/>
              </w:rPr>
              <w:t>a single federated view</w:t>
            </w:r>
            <w:r w:rsidR="007473ED">
              <w:rPr>
                <w:rFonts w:cs="Arial"/>
                <w:szCs w:val="24"/>
              </w:rPr>
              <w:t xml:space="preserve"> of all patients in West Kent, with the ability write back the outcome of a diabetes service encounter to a </w:t>
            </w:r>
            <w:r w:rsidR="00EA4870">
              <w:rPr>
                <w:rFonts w:cs="Arial"/>
                <w:szCs w:val="24"/>
              </w:rPr>
              <w:t>patient’s</w:t>
            </w:r>
            <w:r w:rsidR="007473ED">
              <w:rPr>
                <w:rFonts w:cs="Arial"/>
                <w:szCs w:val="24"/>
              </w:rPr>
              <w:t xml:space="preserve"> registered GP practice system.</w:t>
            </w:r>
          </w:p>
          <w:p w:rsidR="001B10A7" w:rsidRDefault="001B10A7" w:rsidP="00A27DD4">
            <w:pPr>
              <w:rPr>
                <w:rFonts w:cs="Arial"/>
                <w:szCs w:val="24"/>
              </w:rPr>
            </w:pPr>
          </w:p>
          <w:p w:rsidR="00F44293" w:rsidRPr="002208D2" w:rsidRDefault="001B10A7" w:rsidP="00A27DD4">
            <w:pPr>
              <w:rPr>
                <w:rFonts w:cs="Arial"/>
                <w:szCs w:val="24"/>
              </w:rPr>
            </w:pPr>
            <w:r>
              <w:rPr>
                <w:rFonts w:cs="Arial"/>
                <w:szCs w:val="24"/>
              </w:rPr>
              <w:t xml:space="preserve">Reporting and analysis will also be required to support operational process, monitor the delivery of outcomes and key KPIs and shape further development of the service (e.g. clinical and operational effectiveness and service delivery efficiency) </w:t>
            </w:r>
            <w:r w:rsidR="007473ED">
              <w:rPr>
                <w:rFonts w:cs="Arial"/>
                <w:szCs w:val="24"/>
              </w:rPr>
              <w:t xml:space="preserve">   </w:t>
            </w:r>
          </w:p>
          <w:p w:rsidR="00F44293" w:rsidRDefault="00F44293" w:rsidP="00A27DD4"/>
        </w:tc>
      </w:tr>
    </w:tbl>
    <w:p w:rsidR="00544E30" w:rsidRDefault="00544E30" w:rsidP="00BC53F4">
      <w:pPr>
        <w:spacing w:line="240" w:lineRule="auto"/>
      </w:pPr>
    </w:p>
    <w:tbl>
      <w:tblPr>
        <w:tblStyle w:val="TableGrid"/>
        <w:tblW w:w="0" w:type="auto"/>
        <w:tblLook w:val="04A0" w:firstRow="1" w:lastRow="0" w:firstColumn="1" w:lastColumn="0" w:noHBand="0" w:noVBand="1"/>
      </w:tblPr>
      <w:tblGrid>
        <w:gridCol w:w="9242"/>
      </w:tblGrid>
      <w:tr w:rsidR="003726A1" w:rsidRPr="003726A1" w:rsidTr="003726A1">
        <w:tc>
          <w:tcPr>
            <w:tcW w:w="9242" w:type="dxa"/>
          </w:tcPr>
          <w:p w:rsidR="003726A1" w:rsidRPr="003726A1" w:rsidRDefault="003726A1" w:rsidP="003726A1">
            <w:pPr>
              <w:pStyle w:val="Heading2"/>
              <w:outlineLvl w:val="1"/>
            </w:pPr>
            <w:r w:rsidRPr="003726A1">
              <w:t xml:space="preserve">Step two: Describe the information flows </w:t>
            </w:r>
          </w:p>
        </w:tc>
      </w:tr>
      <w:tr w:rsidR="0065556A" w:rsidRPr="003726A1" w:rsidTr="003726A1">
        <w:tc>
          <w:tcPr>
            <w:tcW w:w="9242" w:type="dxa"/>
          </w:tcPr>
          <w:p w:rsidR="00440458" w:rsidRDefault="00440458" w:rsidP="007950A0">
            <w:pPr>
              <w:jc w:val="both"/>
            </w:pPr>
          </w:p>
          <w:p w:rsidR="00440458" w:rsidRDefault="00F44293" w:rsidP="007950A0">
            <w:pPr>
              <w:jc w:val="both"/>
            </w:pPr>
            <w:r w:rsidRPr="00F44293">
              <w:rPr>
                <w:b/>
              </w:rPr>
              <w:t>Describe the nature of the processing</w:t>
            </w:r>
            <w:r>
              <w:t>: How will you collect, use, store and delete data?  What is the source of the data?  Will you be sharing data with anyone?  You might find it useful to refer to a flow diagram or another way of describing data flows.  What types of processing identified as likely high risk are involved?</w:t>
            </w:r>
          </w:p>
          <w:p w:rsidR="0065556A" w:rsidRPr="00FD7569" w:rsidRDefault="0065556A" w:rsidP="00976CCF"/>
        </w:tc>
      </w:tr>
      <w:tr w:rsidR="00F44293" w:rsidRPr="003726A1" w:rsidTr="003726A1">
        <w:tc>
          <w:tcPr>
            <w:tcW w:w="9242" w:type="dxa"/>
          </w:tcPr>
          <w:p w:rsidR="002208D2" w:rsidRDefault="002208D2" w:rsidP="007950A0">
            <w:pPr>
              <w:jc w:val="both"/>
              <w:rPr>
                <w:rFonts w:cstheme="minorHAnsi"/>
                <w:i/>
                <w:sz w:val="20"/>
              </w:rPr>
            </w:pPr>
          </w:p>
          <w:p w:rsidR="002208D2" w:rsidRDefault="002208D2" w:rsidP="007950A0">
            <w:pPr>
              <w:jc w:val="both"/>
            </w:pPr>
            <w:r>
              <w:t>The community diabetes service will be utilising two systems:</w:t>
            </w:r>
          </w:p>
          <w:p w:rsidR="002208D2" w:rsidRDefault="002208D2" w:rsidP="007950A0">
            <w:pPr>
              <w:jc w:val="both"/>
            </w:pPr>
          </w:p>
          <w:p w:rsidR="002208D2" w:rsidRDefault="002208D2" w:rsidP="00D14C12">
            <w:pPr>
              <w:pStyle w:val="ListParagraph"/>
              <w:numPr>
                <w:ilvl w:val="0"/>
                <w:numId w:val="21"/>
              </w:numPr>
              <w:jc w:val="both"/>
            </w:pPr>
            <w:proofErr w:type="spellStart"/>
            <w:r>
              <w:t>eRS</w:t>
            </w:r>
            <w:proofErr w:type="spellEnd"/>
            <w:r>
              <w:t xml:space="preserve">: to manage the incoming referrals and </w:t>
            </w:r>
            <w:r w:rsidR="00671687">
              <w:t xml:space="preserve">the clinical </w:t>
            </w:r>
            <w:r>
              <w:t>triage process</w:t>
            </w:r>
          </w:p>
          <w:p w:rsidR="002208D2" w:rsidRDefault="002208D2" w:rsidP="00D14C12">
            <w:pPr>
              <w:pStyle w:val="ListParagraph"/>
              <w:numPr>
                <w:ilvl w:val="0"/>
                <w:numId w:val="21"/>
              </w:numPr>
              <w:jc w:val="both"/>
            </w:pPr>
            <w:r>
              <w:t>Vision 360: provides appointment booking in hub and spoke locations and access to the primary care patient records residing in individual GP practice systems</w:t>
            </w:r>
          </w:p>
          <w:p w:rsidR="002208D2" w:rsidRDefault="002208D2" w:rsidP="00D14C12">
            <w:pPr>
              <w:jc w:val="both"/>
              <w:rPr>
                <w:rFonts w:cstheme="minorHAnsi"/>
                <w:sz w:val="20"/>
              </w:rPr>
            </w:pPr>
          </w:p>
          <w:p w:rsidR="00087903" w:rsidRPr="00D14C12" w:rsidRDefault="00087903" w:rsidP="00D14C12">
            <w:pPr>
              <w:jc w:val="both"/>
            </w:pPr>
            <w:r w:rsidRPr="00D14C12">
              <w:t>In addition the administrative of service will require the use of of</w:t>
            </w:r>
            <w:r w:rsidRPr="006600E8">
              <w:t xml:space="preserve">fice application (Excel, Word) </w:t>
            </w:r>
            <w:r w:rsidRPr="00D14C12">
              <w:t>to produce patient letters</w:t>
            </w:r>
            <w:r>
              <w:t xml:space="preserve"> and manage workflow through worklists.</w:t>
            </w:r>
            <w:r w:rsidRPr="00D14C12">
              <w:t xml:space="preserve">  </w:t>
            </w:r>
          </w:p>
          <w:p w:rsidR="00087903" w:rsidRPr="00D14C12" w:rsidRDefault="00087903" w:rsidP="00D14C12">
            <w:pPr>
              <w:jc w:val="both"/>
              <w:rPr>
                <w:rFonts w:cstheme="minorHAnsi"/>
                <w:sz w:val="20"/>
              </w:rPr>
            </w:pPr>
          </w:p>
          <w:p w:rsidR="002208D2" w:rsidRDefault="00671687" w:rsidP="00D14C12">
            <w:pPr>
              <w:jc w:val="both"/>
              <w:rPr>
                <w:rFonts w:cstheme="minorHAnsi"/>
                <w:b/>
                <w:szCs w:val="24"/>
              </w:rPr>
            </w:pPr>
            <w:r>
              <w:rPr>
                <w:rFonts w:cstheme="minorHAnsi"/>
                <w:b/>
                <w:szCs w:val="24"/>
              </w:rPr>
              <w:t>e-Referral Service (</w:t>
            </w:r>
            <w:proofErr w:type="spellStart"/>
            <w:r>
              <w:rPr>
                <w:rFonts w:cstheme="minorHAnsi"/>
                <w:b/>
                <w:szCs w:val="24"/>
              </w:rPr>
              <w:t>e</w:t>
            </w:r>
            <w:r w:rsidRPr="00671687">
              <w:rPr>
                <w:rFonts w:cstheme="minorHAnsi"/>
                <w:b/>
                <w:szCs w:val="24"/>
              </w:rPr>
              <w:t>RS</w:t>
            </w:r>
            <w:proofErr w:type="spellEnd"/>
            <w:r w:rsidRPr="00671687">
              <w:rPr>
                <w:rFonts w:cstheme="minorHAnsi"/>
                <w:b/>
                <w:szCs w:val="24"/>
              </w:rPr>
              <w:t xml:space="preserve">) </w:t>
            </w:r>
          </w:p>
          <w:p w:rsidR="00671687" w:rsidRPr="00D14C12" w:rsidRDefault="00671687" w:rsidP="00D14C12">
            <w:pPr>
              <w:jc w:val="both"/>
              <w:rPr>
                <w:rFonts w:cstheme="minorHAnsi"/>
                <w:szCs w:val="24"/>
              </w:rPr>
            </w:pPr>
          </w:p>
          <w:p w:rsidR="008356CC" w:rsidRDefault="002208D2" w:rsidP="00D14C12">
            <w:pPr>
              <w:jc w:val="both"/>
              <w:rPr>
                <w:rFonts w:cstheme="minorHAnsi"/>
                <w:szCs w:val="24"/>
              </w:rPr>
            </w:pPr>
            <w:proofErr w:type="spellStart"/>
            <w:proofErr w:type="gramStart"/>
            <w:r w:rsidRPr="00D14C12">
              <w:rPr>
                <w:rFonts w:cstheme="minorHAnsi"/>
                <w:szCs w:val="24"/>
              </w:rPr>
              <w:t>eRS</w:t>
            </w:r>
            <w:proofErr w:type="spellEnd"/>
            <w:proofErr w:type="gramEnd"/>
            <w:r w:rsidRPr="00D14C12">
              <w:rPr>
                <w:rFonts w:cstheme="minorHAnsi"/>
                <w:szCs w:val="24"/>
              </w:rPr>
              <w:t xml:space="preserve"> is a nationally provided NHS system to manage referrals electronically</w:t>
            </w:r>
            <w:r w:rsidR="002541A1" w:rsidRPr="00D14C12">
              <w:rPr>
                <w:rFonts w:cstheme="minorHAnsi"/>
                <w:szCs w:val="24"/>
              </w:rPr>
              <w:t>. The project proposes to use the</w:t>
            </w:r>
            <w:r w:rsidR="008356CC" w:rsidRPr="00D14C12">
              <w:rPr>
                <w:rFonts w:cstheme="minorHAnsi"/>
                <w:szCs w:val="24"/>
              </w:rPr>
              <w:t xml:space="preserve"> Referral Assessment Service</w:t>
            </w:r>
            <w:r w:rsidR="00671687">
              <w:rPr>
                <w:rFonts w:cstheme="minorHAnsi"/>
                <w:szCs w:val="24"/>
              </w:rPr>
              <w:t xml:space="preserve"> (RAS) capabilities of </w:t>
            </w:r>
            <w:proofErr w:type="spellStart"/>
            <w:r w:rsidR="00671687">
              <w:rPr>
                <w:rFonts w:cstheme="minorHAnsi"/>
                <w:szCs w:val="24"/>
              </w:rPr>
              <w:t>eRS</w:t>
            </w:r>
            <w:proofErr w:type="spellEnd"/>
            <w:r w:rsidR="008356CC" w:rsidRPr="00D14C12">
              <w:rPr>
                <w:rFonts w:cstheme="minorHAnsi"/>
                <w:szCs w:val="24"/>
              </w:rPr>
              <w:t xml:space="preserve">: </w:t>
            </w:r>
            <w:hyperlink r:id="rId9" w:history="1">
              <w:r w:rsidR="008356CC" w:rsidRPr="00D14C12">
                <w:rPr>
                  <w:rStyle w:val="Hyperlink"/>
                  <w:rFonts w:cstheme="minorHAnsi"/>
                  <w:szCs w:val="24"/>
                </w:rPr>
                <w:t>https://digital.nhs.uk/services/nhs-e-referral-service/the-future-of-the-nhs-e-referral-</w:t>
              </w:r>
              <w:r w:rsidR="008356CC" w:rsidRPr="00D14C12">
                <w:rPr>
                  <w:rStyle w:val="Hyperlink"/>
                  <w:rFonts w:cstheme="minorHAnsi"/>
                  <w:szCs w:val="24"/>
                </w:rPr>
                <w:lastRenderedPageBreak/>
                <w:t>service/referral-assessment-services</w:t>
              </w:r>
            </w:hyperlink>
            <w:r w:rsidR="00671687" w:rsidRPr="00D14C12">
              <w:rPr>
                <w:rFonts w:cstheme="minorHAnsi"/>
                <w:szCs w:val="24"/>
              </w:rPr>
              <w:t xml:space="preserve">. </w:t>
            </w:r>
            <w:proofErr w:type="spellStart"/>
            <w:proofErr w:type="gramStart"/>
            <w:r w:rsidR="00671687">
              <w:rPr>
                <w:rFonts w:cstheme="minorHAnsi"/>
                <w:szCs w:val="24"/>
              </w:rPr>
              <w:t>eRS</w:t>
            </w:r>
            <w:proofErr w:type="spellEnd"/>
            <w:proofErr w:type="gramEnd"/>
            <w:r w:rsidR="00671687" w:rsidRPr="00D14C12">
              <w:rPr>
                <w:rFonts w:cstheme="minorHAnsi"/>
                <w:szCs w:val="24"/>
              </w:rPr>
              <w:t xml:space="preserve"> </w:t>
            </w:r>
            <w:r w:rsidR="00671687" w:rsidRPr="00D9680A">
              <w:rPr>
                <w:rFonts w:cstheme="minorHAnsi"/>
                <w:szCs w:val="24"/>
              </w:rPr>
              <w:t>will provide the front door to the service</w:t>
            </w:r>
            <w:r w:rsidR="00671687">
              <w:rPr>
                <w:rFonts w:cstheme="minorHAnsi"/>
                <w:szCs w:val="24"/>
              </w:rPr>
              <w:t xml:space="preserve"> for referrers</w:t>
            </w:r>
            <w:r w:rsidR="00671687" w:rsidRPr="00D9680A">
              <w:rPr>
                <w:rFonts w:cstheme="minorHAnsi"/>
                <w:szCs w:val="24"/>
              </w:rPr>
              <w:t xml:space="preserve"> and enable</w:t>
            </w:r>
            <w:r w:rsidR="00671687">
              <w:rPr>
                <w:rFonts w:cstheme="minorHAnsi"/>
                <w:szCs w:val="24"/>
              </w:rPr>
              <w:t xml:space="preserve"> clinical triaging</w:t>
            </w:r>
            <w:r w:rsidR="00D9680A">
              <w:rPr>
                <w:rFonts w:cstheme="minorHAnsi"/>
                <w:szCs w:val="24"/>
              </w:rPr>
              <w:t xml:space="preserve"> by DSNs</w:t>
            </w:r>
            <w:r w:rsidR="00671687">
              <w:rPr>
                <w:rFonts w:cstheme="minorHAnsi"/>
                <w:szCs w:val="24"/>
              </w:rPr>
              <w:t xml:space="preserve"> so patients are directed to the most appropriate service. </w:t>
            </w:r>
            <w:proofErr w:type="spellStart"/>
            <w:proofErr w:type="gramStart"/>
            <w:r w:rsidR="00671687">
              <w:rPr>
                <w:rFonts w:cstheme="minorHAnsi"/>
                <w:szCs w:val="24"/>
              </w:rPr>
              <w:t>eRS</w:t>
            </w:r>
            <w:proofErr w:type="spellEnd"/>
            <w:proofErr w:type="gramEnd"/>
            <w:r w:rsidR="00671687">
              <w:rPr>
                <w:rFonts w:cstheme="minorHAnsi"/>
                <w:szCs w:val="24"/>
              </w:rPr>
              <w:t xml:space="preserve"> provides the workflow functionality to ensure referrals are manage correctly.</w:t>
            </w:r>
          </w:p>
          <w:p w:rsidR="00671687" w:rsidRDefault="00671687" w:rsidP="00D14C12">
            <w:pPr>
              <w:jc w:val="both"/>
              <w:rPr>
                <w:rFonts w:cstheme="minorHAnsi"/>
                <w:szCs w:val="24"/>
              </w:rPr>
            </w:pPr>
          </w:p>
          <w:p w:rsidR="008356CC" w:rsidRPr="00D14C12" w:rsidRDefault="00671687" w:rsidP="00D14C12">
            <w:pPr>
              <w:jc w:val="both"/>
              <w:rPr>
                <w:rFonts w:cstheme="minorHAnsi"/>
                <w:b/>
                <w:szCs w:val="24"/>
              </w:rPr>
            </w:pPr>
            <w:r w:rsidRPr="00D14C12">
              <w:rPr>
                <w:rFonts w:cstheme="minorHAnsi"/>
                <w:b/>
                <w:szCs w:val="24"/>
              </w:rPr>
              <w:t>Vision 360</w:t>
            </w:r>
          </w:p>
          <w:p w:rsidR="00671687" w:rsidRDefault="00671687" w:rsidP="00D14C12">
            <w:pPr>
              <w:jc w:val="both"/>
              <w:rPr>
                <w:rFonts w:cstheme="minorHAnsi"/>
                <w:szCs w:val="24"/>
              </w:rPr>
            </w:pPr>
          </w:p>
          <w:p w:rsidR="00087903" w:rsidRDefault="00087903" w:rsidP="00D14C12">
            <w:pPr>
              <w:jc w:val="both"/>
              <w:rPr>
                <w:rFonts w:cstheme="minorHAnsi"/>
                <w:szCs w:val="24"/>
              </w:rPr>
            </w:pPr>
            <w:r>
              <w:rPr>
                <w:rFonts w:cstheme="minorHAnsi"/>
                <w:szCs w:val="24"/>
              </w:rPr>
              <w:t>Vision 360 is hosted as a secure cloud service under the auspices of the national GP Systems of Choice (</w:t>
            </w:r>
            <w:proofErr w:type="spellStart"/>
            <w:r w:rsidRPr="00087903">
              <w:rPr>
                <w:rFonts w:cstheme="minorHAnsi"/>
                <w:szCs w:val="24"/>
              </w:rPr>
              <w:t>GPSoC</w:t>
            </w:r>
            <w:proofErr w:type="spellEnd"/>
            <w:r>
              <w:rPr>
                <w:rFonts w:cstheme="minorHAnsi"/>
                <w:szCs w:val="24"/>
              </w:rPr>
              <w:t>)</w:t>
            </w:r>
            <w:r w:rsidRPr="00087903">
              <w:rPr>
                <w:rFonts w:cstheme="minorHAnsi"/>
                <w:szCs w:val="24"/>
              </w:rPr>
              <w:t xml:space="preserve"> framework agreement</w:t>
            </w:r>
            <w:r>
              <w:rPr>
                <w:rFonts w:cstheme="minorHAnsi"/>
                <w:szCs w:val="24"/>
              </w:rPr>
              <w:t>.</w:t>
            </w:r>
          </w:p>
          <w:p w:rsidR="00087903" w:rsidRDefault="00087903" w:rsidP="00D14C12">
            <w:pPr>
              <w:jc w:val="both"/>
              <w:rPr>
                <w:rFonts w:cstheme="minorHAnsi"/>
                <w:szCs w:val="24"/>
              </w:rPr>
            </w:pPr>
          </w:p>
          <w:p w:rsidR="00671687" w:rsidRDefault="00671687" w:rsidP="00D14C12">
            <w:pPr>
              <w:jc w:val="both"/>
              <w:rPr>
                <w:rFonts w:cstheme="minorHAnsi"/>
                <w:szCs w:val="24"/>
              </w:rPr>
            </w:pPr>
            <w:r>
              <w:rPr>
                <w:rFonts w:cstheme="minorHAnsi"/>
                <w:szCs w:val="24"/>
              </w:rPr>
              <w:t>Vision 360 provides two capabilities:</w:t>
            </w:r>
          </w:p>
          <w:p w:rsidR="00D9680A" w:rsidRDefault="00671687" w:rsidP="00D14C12">
            <w:pPr>
              <w:pStyle w:val="ListParagraph"/>
              <w:numPr>
                <w:ilvl w:val="0"/>
                <w:numId w:val="22"/>
              </w:numPr>
              <w:jc w:val="both"/>
              <w:rPr>
                <w:rFonts w:cstheme="minorHAnsi"/>
                <w:szCs w:val="24"/>
              </w:rPr>
            </w:pPr>
            <w:r>
              <w:rPr>
                <w:rFonts w:cstheme="minorHAnsi"/>
                <w:szCs w:val="24"/>
              </w:rPr>
              <w:t xml:space="preserve">Appointment booking: Provides a share </w:t>
            </w:r>
            <w:r w:rsidR="00D9680A">
              <w:rPr>
                <w:rFonts w:cstheme="minorHAnsi"/>
                <w:szCs w:val="24"/>
              </w:rPr>
              <w:t>appointment book for hub (Maidstone Hospital and Abbey Court) and spoke clinics held in West Kent GP practices. Appointments will be arranged with patients by the administration team supporting the service. The appointment book will be accessible by the health p</w:t>
            </w:r>
            <w:bookmarkStart w:id="0" w:name="_GoBack"/>
            <w:bookmarkEnd w:id="0"/>
            <w:r w:rsidR="00D9680A">
              <w:rPr>
                <w:rFonts w:cstheme="minorHAnsi"/>
                <w:szCs w:val="24"/>
              </w:rPr>
              <w:t>rofessionals delivering the service and the administration team</w:t>
            </w:r>
          </w:p>
          <w:p w:rsidR="00671687" w:rsidRPr="00D9680A" w:rsidRDefault="00D9680A" w:rsidP="00D14C12">
            <w:pPr>
              <w:pStyle w:val="ListParagraph"/>
              <w:numPr>
                <w:ilvl w:val="0"/>
                <w:numId w:val="22"/>
              </w:numPr>
              <w:jc w:val="both"/>
              <w:rPr>
                <w:rFonts w:cstheme="minorHAnsi"/>
                <w:szCs w:val="24"/>
              </w:rPr>
            </w:pPr>
            <w:r>
              <w:rPr>
                <w:rFonts w:cstheme="minorHAnsi"/>
                <w:szCs w:val="24"/>
              </w:rPr>
              <w:t xml:space="preserve">Federated access to primary care patient records: Patients records will need to be available to health professionals delivering the service to patients – records will need to be </w:t>
            </w:r>
            <w:r w:rsidR="00A5420C">
              <w:rPr>
                <w:rFonts w:cstheme="minorHAnsi"/>
                <w:szCs w:val="24"/>
              </w:rPr>
              <w:t>reviewed</w:t>
            </w:r>
            <w:r>
              <w:rPr>
                <w:rFonts w:cstheme="minorHAnsi"/>
                <w:szCs w:val="24"/>
              </w:rPr>
              <w:t xml:space="preserve"> as part of the triage process and when seeing patient in clinic. </w:t>
            </w:r>
            <w:r w:rsidR="00A5420C">
              <w:rPr>
                <w:rFonts w:cstheme="minorHAnsi"/>
                <w:szCs w:val="24"/>
              </w:rPr>
              <w:t>At the end of a patient encounter</w:t>
            </w:r>
            <w:r w:rsidR="00087903">
              <w:rPr>
                <w:rFonts w:cstheme="minorHAnsi"/>
                <w:szCs w:val="24"/>
              </w:rPr>
              <w:t xml:space="preserve"> with a clinician (practice nurse, DSN or consultant)</w:t>
            </w:r>
            <w:r w:rsidR="00A5420C">
              <w:rPr>
                <w:rFonts w:cstheme="minorHAnsi"/>
                <w:szCs w:val="24"/>
              </w:rPr>
              <w:t xml:space="preserve">, the outcome of the consultation will be recorded and saved to the patient record at the host practices. </w:t>
            </w:r>
            <w:r>
              <w:rPr>
                <w:rFonts w:cstheme="minorHAnsi"/>
                <w:szCs w:val="24"/>
              </w:rPr>
              <w:t xml:space="preserve">Vision 360 ‘steams’ data from all practice systems (EMIS/Vision) in West Kent and makes this available through a single application </w:t>
            </w:r>
            <w:r w:rsidR="00791200">
              <w:rPr>
                <w:rFonts w:cstheme="minorHAnsi"/>
                <w:szCs w:val="24"/>
              </w:rPr>
              <w:t>(Vision Anywhere) which will be installed in GP practices and MTW locations.</w:t>
            </w:r>
            <w:r>
              <w:rPr>
                <w:rFonts w:cstheme="minorHAnsi"/>
                <w:szCs w:val="24"/>
              </w:rPr>
              <w:t xml:space="preserve">     </w:t>
            </w:r>
          </w:p>
          <w:p w:rsidR="00671687" w:rsidRDefault="00671687" w:rsidP="00D14C12">
            <w:pPr>
              <w:jc w:val="both"/>
              <w:rPr>
                <w:rFonts w:cstheme="minorHAnsi"/>
                <w:szCs w:val="24"/>
              </w:rPr>
            </w:pPr>
          </w:p>
          <w:p w:rsidR="00C94DDC" w:rsidRDefault="00C94DDC" w:rsidP="00D14C12">
            <w:pPr>
              <w:jc w:val="both"/>
              <w:rPr>
                <w:rFonts w:cstheme="minorHAnsi"/>
                <w:szCs w:val="24"/>
              </w:rPr>
            </w:pPr>
            <w:r>
              <w:rPr>
                <w:rFonts w:cstheme="minorHAnsi"/>
                <w:szCs w:val="24"/>
              </w:rPr>
              <w:t xml:space="preserve">There are currently no data transfer interfaces between </w:t>
            </w:r>
            <w:proofErr w:type="spellStart"/>
            <w:r>
              <w:rPr>
                <w:rFonts w:cstheme="minorHAnsi"/>
                <w:szCs w:val="24"/>
              </w:rPr>
              <w:t>eRS</w:t>
            </w:r>
            <w:proofErr w:type="spellEnd"/>
            <w:r>
              <w:rPr>
                <w:rFonts w:cstheme="minorHAnsi"/>
                <w:szCs w:val="24"/>
              </w:rPr>
              <w:t xml:space="preserve"> and Vision 360.</w:t>
            </w:r>
          </w:p>
          <w:p w:rsidR="00C94DDC" w:rsidRDefault="00C94DDC" w:rsidP="00D14C12">
            <w:pPr>
              <w:jc w:val="both"/>
              <w:rPr>
                <w:rFonts w:cstheme="minorHAnsi"/>
                <w:szCs w:val="24"/>
              </w:rPr>
            </w:pPr>
          </w:p>
          <w:p w:rsidR="00671687" w:rsidRDefault="00A5420C" w:rsidP="00D14C12">
            <w:pPr>
              <w:jc w:val="both"/>
              <w:rPr>
                <w:rFonts w:cstheme="minorHAnsi"/>
                <w:szCs w:val="24"/>
              </w:rPr>
            </w:pPr>
            <w:r>
              <w:rPr>
                <w:rFonts w:cstheme="minorHAnsi"/>
                <w:szCs w:val="24"/>
              </w:rPr>
              <w:t>The diagram below sets out the data flows</w:t>
            </w:r>
            <w:r w:rsidR="00087903">
              <w:rPr>
                <w:rFonts w:cstheme="minorHAnsi"/>
                <w:szCs w:val="24"/>
              </w:rPr>
              <w:t xml:space="preserve"> associated with the </w:t>
            </w:r>
            <w:proofErr w:type="gramStart"/>
            <w:r w:rsidR="00087903">
              <w:rPr>
                <w:rFonts w:cstheme="minorHAnsi"/>
                <w:szCs w:val="24"/>
              </w:rPr>
              <w:t>service’s</w:t>
            </w:r>
            <w:proofErr w:type="gramEnd"/>
            <w:r w:rsidR="00087903">
              <w:rPr>
                <w:rFonts w:cstheme="minorHAnsi"/>
                <w:szCs w:val="24"/>
              </w:rPr>
              <w:t xml:space="preserve"> agreed business processes.</w:t>
            </w:r>
          </w:p>
          <w:p w:rsidR="00C94DDC" w:rsidRDefault="00947373" w:rsidP="00D14C12">
            <w:pPr>
              <w:jc w:val="both"/>
              <w:rPr>
                <w:rFonts w:cstheme="minorHAnsi"/>
                <w:szCs w:val="24"/>
              </w:rPr>
            </w:pPr>
            <w:r>
              <w:rPr>
                <w:rFonts w:cstheme="minorHAnsi"/>
                <w:noProof/>
                <w:szCs w:val="24"/>
                <w:lang w:eastAsia="en-GB"/>
              </w:rPr>
              <w:lastRenderedPageBreak/>
              <w:drawing>
                <wp:inline distT="0" distB="0" distL="0" distR="0" wp14:anchorId="62E39747" wp14:editId="502F7A6D">
                  <wp:extent cx="5637600" cy="4176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37600" cy="4176000"/>
                          </a:xfrm>
                          <a:prstGeom prst="rect">
                            <a:avLst/>
                          </a:prstGeom>
                          <a:noFill/>
                        </pic:spPr>
                      </pic:pic>
                    </a:graphicData>
                  </a:graphic>
                </wp:inline>
              </w:drawing>
            </w:r>
          </w:p>
          <w:p w:rsidR="00C94DDC" w:rsidRDefault="00C94DDC" w:rsidP="00D14C12">
            <w:pPr>
              <w:jc w:val="both"/>
              <w:rPr>
                <w:rFonts w:cstheme="minorHAnsi"/>
                <w:szCs w:val="24"/>
              </w:rPr>
            </w:pPr>
          </w:p>
          <w:p w:rsidR="00087903" w:rsidRPr="00D14C12" w:rsidRDefault="00087903" w:rsidP="00D14C12">
            <w:pPr>
              <w:jc w:val="both"/>
              <w:rPr>
                <w:rFonts w:cstheme="minorHAnsi"/>
                <w:szCs w:val="24"/>
              </w:rPr>
            </w:pPr>
            <w:r>
              <w:rPr>
                <w:rFonts w:cstheme="minorHAnsi"/>
                <w:szCs w:val="24"/>
              </w:rPr>
              <w:t>The diagram below summarises how users will interact with IT systems.</w:t>
            </w:r>
          </w:p>
          <w:p w:rsidR="002208D2" w:rsidRDefault="002208D2" w:rsidP="00D14C12">
            <w:pPr>
              <w:jc w:val="both"/>
              <w:rPr>
                <w:rFonts w:cstheme="minorHAnsi"/>
                <w:sz w:val="20"/>
              </w:rPr>
            </w:pPr>
            <w:r>
              <w:rPr>
                <w:rFonts w:cstheme="minorHAnsi"/>
                <w:sz w:val="20"/>
              </w:rPr>
              <w:t xml:space="preserve"> </w:t>
            </w:r>
          </w:p>
          <w:p w:rsidR="00F44293" w:rsidRDefault="00947373" w:rsidP="007950A0">
            <w:pPr>
              <w:jc w:val="both"/>
            </w:pPr>
            <w:r>
              <w:rPr>
                <w:rFonts w:cstheme="minorHAnsi"/>
                <w:i/>
                <w:noProof/>
                <w:sz w:val="20"/>
                <w:lang w:eastAsia="en-GB"/>
              </w:rPr>
              <w:drawing>
                <wp:inline distT="0" distB="0" distL="0" distR="0" wp14:anchorId="48787632" wp14:editId="505B4AC2">
                  <wp:extent cx="5457600" cy="41760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57600" cy="4176000"/>
                          </a:xfrm>
                          <a:prstGeom prst="rect">
                            <a:avLst/>
                          </a:prstGeom>
                          <a:noFill/>
                        </pic:spPr>
                      </pic:pic>
                    </a:graphicData>
                  </a:graphic>
                </wp:inline>
              </w:drawing>
            </w:r>
          </w:p>
          <w:p w:rsidR="002208D2" w:rsidRDefault="002208D2" w:rsidP="007950A0">
            <w:pPr>
              <w:jc w:val="both"/>
            </w:pPr>
          </w:p>
          <w:p w:rsidR="00947373" w:rsidRDefault="00947373" w:rsidP="007950A0">
            <w:pPr>
              <w:jc w:val="both"/>
            </w:pPr>
          </w:p>
          <w:p w:rsidR="00947373" w:rsidRPr="00D14C12" w:rsidRDefault="00947373" w:rsidP="007950A0">
            <w:pPr>
              <w:jc w:val="both"/>
              <w:rPr>
                <w:b/>
              </w:rPr>
            </w:pPr>
            <w:r w:rsidRPr="00D14C12">
              <w:rPr>
                <w:b/>
              </w:rPr>
              <w:t>Data sharing agreements</w:t>
            </w:r>
          </w:p>
          <w:p w:rsidR="00947373" w:rsidRDefault="00947373" w:rsidP="007950A0">
            <w:pPr>
              <w:jc w:val="both"/>
            </w:pPr>
          </w:p>
          <w:p w:rsidR="00947373" w:rsidRDefault="00947373" w:rsidP="007950A0">
            <w:pPr>
              <w:jc w:val="both"/>
            </w:pPr>
            <w:r>
              <w:t>Vision 360 is manage by the West Kent GP Federation and there are two governance controls in place to manage data:</w:t>
            </w:r>
            <w:r>
              <w:br/>
            </w:r>
          </w:p>
          <w:p w:rsidR="00947373" w:rsidRDefault="00947373" w:rsidP="00D14C12">
            <w:pPr>
              <w:pStyle w:val="ListParagraph"/>
              <w:numPr>
                <w:ilvl w:val="0"/>
                <w:numId w:val="23"/>
              </w:numPr>
              <w:jc w:val="both"/>
            </w:pPr>
            <w:r>
              <w:t>Data Sharing Agreement – signed agreement by West Kent CCG practices to allow data to be “streamed” from individual practice systems to the Vision 360 environment</w:t>
            </w:r>
            <w:r w:rsidR="00AE1364">
              <w:t>. Vision 360 does not stream data that is deemed to be sensitive and the agreement provides details of the Read codes that will not extracted from GP practice systems</w:t>
            </w:r>
          </w:p>
          <w:p w:rsidR="00947373" w:rsidRDefault="00947373" w:rsidP="00D14C12">
            <w:pPr>
              <w:pStyle w:val="ListParagraph"/>
              <w:numPr>
                <w:ilvl w:val="0"/>
                <w:numId w:val="23"/>
              </w:numPr>
              <w:jc w:val="both"/>
            </w:pPr>
            <w:r>
              <w:t xml:space="preserve">Data Access agreement </w:t>
            </w:r>
            <w:r w:rsidR="00AE1364">
              <w:t>- access</w:t>
            </w:r>
            <w:r>
              <w:t xml:space="preserve"> to data for specific uses is managed by an access request from. The form is completed by the service requiring access to patient records in Vision 360. Access is approved by the GP Federation GPIT Steering Group. </w:t>
            </w:r>
          </w:p>
          <w:p w:rsidR="00947373" w:rsidRDefault="00947373" w:rsidP="007950A0">
            <w:pPr>
              <w:jc w:val="both"/>
            </w:pPr>
          </w:p>
        </w:tc>
      </w:tr>
    </w:tbl>
    <w:p w:rsidR="00F44293" w:rsidRDefault="00F44293"/>
    <w:tbl>
      <w:tblPr>
        <w:tblStyle w:val="TableGrid"/>
        <w:tblW w:w="0" w:type="auto"/>
        <w:tblLook w:val="04A0" w:firstRow="1" w:lastRow="0" w:firstColumn="1" w:lastColumn="0" w:noHBand="0" w:noVBand="1"/>
      </w:tblPr>
      <w:tblGrid>
        <w:gridCol w:w="9242"/>
      </w:tblGrid>
      <w:tr w:rsidR="00F44293" w:rsidRPr="003726A1" w:rsidTr="003726A1">
        <w:tc>
          <w:tcPr>
            <w:tcW w:w="9242" w:type="dxa"/>
          </w:tcPr>
          <w:p w:rsidR="00F44293" w:rsidRDefault="00F44293" w:rsidP="007950A0">
            <w:pPr>
              <w:jc w:val="both"/>
            </w:pPr>
            <w:r w:rsidRPr="00F44293">
              <w:rPr>
                <w:b/>
              </w:rPr>
              <w:t>Describe the scope of the processing:</w:t>
            </w:r>
            <w:r>
              <w:t xml:space="preserve"> What is the nature of the data and does it include special category or criminal offence data?  How much data will you be collecting and using?  How often?  How long will you keep it?  How many individuals are affected?  What geographical area does it cover?</w:t>
            </w:r>
          </w:p>
          <w:p w:rsidR="00F44293" w:rsidRDefault="00F44293" w:rsidP="007950A0">
            <w:pPr>
              <w:jc w:val="both"/>
            </w:pPr>
          </w:p>
        </w:tc>
      </w:tr>
      <w:tr w:rsidR="00F44293" w:rsidRPr="003726A1" w:rsidTr="003726A1">
        <w:tc>
          <w:tcPr>
            <w:tcW w:w="9242" w:type="dxa"/>
          </w:tcPr>
          <w:p w:rsidR="00F44293" w:rsidRDefault="00AE1364" w:rsidP="007950A0">
            <w:pPr>
              <w:jc w:val="both"/>
            </w:pPr>
            <w:r>
              <w:t>The type of data collected is s</w:t>
            </w:r>
            <w:r w:rsidR="00646FAE">
              <w:t xml:space="preserve">pecial category data </w:t>
            </w:r>
            <w:r w:rsidR="006600E8">
              <w:t>personal information about</w:t>
            </w:r>
            <w:r w:rsidR="006600E8" w:rsidRPr="006600E8">
              <w:t xml:space="preserve"> health, care and wellbeing</w:t>
            </w:r>
            <w:r w:rsidR="006600E8">
              <w:t>.</w:t>
            </w:r>
          </w:p>
          <w:p w:rsidR="00646FAE" w:rsidRDefault="00646FAE" w:rsidP="007950A0">
            <w:pPr>
              <w:jc w:val="both"/>
            </w:pPr>
          </w:p>
          <w:p w:rsidR="00323004" w:rsidRDefault="00323004" w:rsidP="007950A0">
            <w:pPr>
              <w:jc w:val="both"/>
            </w:pPr>
            <w:r>
              <w:t>The main data sets required:</w:t>
            </w:r>
          </w:p>
          <w:p w:rsidR="00323004" w:rsidRDefault="00323004" w:rsidP="007950A0">
            <w:pPr>
              <w:jc w:val="both"/>
            </w:pPr>
          </w:p>
          <w:p w:rsidR="005F2C5B" w:rsidRDefault="005F2C5B" w:rsidP="00D14C12">
            <w:pPr>
              <w:pStyle w:val="ListParagraph"/>
              <w:numPr>
                <w:ilvl w:val="0"/>
                <w:numId w:val="24"/>
              </w:numPr>
              <w:jc w:val="both"/>
            </w:pPr>
            <w:r>
              <w:t>Minimum data required for referral</w:t>
            </w:r>
          </w:p>
          <w:p w:rsidR="00323004" w:rsidRDefault="00323004" w:rsidP="00D14C12">
            <w:pPr>
              <w:pStyle w:val="ListParagraph"/>
              <w:numPr>
                <w:ilvl w:val="0"/>
                <w:numId w:val="24"/>
              </w:numPr>
              <w:jc w:val="both"/>
            </w:pPr>
            <w:r>
              <w:t>Data required for triaging</w:t>
            </w:r>
          </w:p>
          <w:p w:rsidR="00323004" w:rsidRDefault="00323004" w:rsidP="00D14C12">
            <w:pPr>
              <w:pStyle w:val="ListParagraph"/>
              <w:numPr>
                <w:ilvl w:val="0"/>
                <w:numId w:val="24"/>
              </w:numPr>
              <w:jc w:val="both"/>
            </w:pPr>
            <w:r>
              <w:t>Data required to book an appointment</w:t>
            </w:r>
          </w:p>
          <w:p w:rsidR="00323004" w:rsidRDefault="00323004" w:rsidP="00D14C12">
            <w:pPr>
              <w:pStyle w:val="ListParagraph"/>
              <w:numPr>
                <w:ilvl w:val="0"/>
                <w:numId w:val="24"/>
              </w:numPr>
              <w:jc w:val="both"/>
            </w:pPr>
            <w:r>
              <w:t>Data collected at a consultation with a patient</w:t>
            </w:r>
            <w:r w:rsidR="00AE1364">
              <w:t>.</w:t>
            </w:r>
            <w:r>
              <w:t xml:space="preserve"> </w:t>
            </w:r>
          </w:p>
          <w:p w:rsidR="00AE1364" w:rsidRDefault="00AE1364" w:rsidP="007950A0">
            <w:pPr>
              <w:jc w:val="both"/>
            </w:pPr>
          </w:p>
          <w:p w:rsidR="00AE1364" w:rsidRDefault="00AE1364" w:rsidP="007950A0">
            <w:pPr>
              <w:jc w:val="both"/>
            </w:pPr>
            <w:r>
              <w:t>The form embedded below sets out the datasets that will be collected as part of service delivery.</w:t>
            </w:r>
          </w:p>
          <w:bookmarkStart w:id="1" w:name="_MON_1594464689"/>
          <w:bookmarkEnd w:id="1"/>
          <w:p w:rsidR="00AE1364" w:rsidRDefault="00AE1364" w:rsidP="007950A0">
            <w:pPr>
              <w:jc w:val="both"/>
            </w:pPr>
            <w:r>
              <w:object w:dxaOrig="1533" w:dyaOrig="9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76.5pt;height:49.5pt" o:ole="">
                  <v:imagedata r:id="rId12" o:title=""/>
                </v:shape>
                <o:OLEObject Type="Embed" ProgID="Word.Document.12" ShapeID="_x0000_i1036" DrawAspect="Icon" ObjectID="_1606718311" r:id="rId13">
                  <o:FieldCodes>\s</o:FieldCodes>
                </o:OLEObject>
              </w:object>
            </w:r>
          </w:p>
          <w:p w:rsidR="005F2C5B" w:rsidRDefault="00323004" w:rsidP="007950A0">
            <w:pPr>
              <w:jc w:val="both"/>
            </w:pPr>
            <w:r>
              <w:t>Data is managed i</w:t>
            </w:r>
            <w:r w:rsidR="005F2C5B">
              <w:t>n line with the code of practice for records management for health and social care 2016.</w:t>
            </w:r>
          </w:p>
          <w:p w:rsidR="005F2C5B" w:rsidRDefault="005F2C5B" w:rsidP="007950A0">
            <w:pPr>
              <w:jc w:val="both"/>
            </w:pPr>
          </w:p>
          <w:p w:rsidR="00AE1364" w:rsidRDefault="00323004" w:rsidP="007950A0">
            <w:pPr>
              <w:jc w:val="both"/>
            </w:pPr>
            <w:r>
              <w:t xml:space="preserve">The service covers all Type 1 and Type 2 diabetic patients registered in </w:t>
            </w:r>
            <w:r w:rsidR="005F2C5B">
              <w:t xml:space="preserve">West Kent CCG registered GP </w:t>
            </w:r>
            <w:proofErr w:type="gramStart"/>
            <w:r>
              <w:t>Practices, that</w:t>
            </w:r>
            <w:proofErr w:type="gramEnd"/>
            <w:r>
              <w:t xml:space="preserve"> require Level 2 or Level 3 management, and are referred into the service by their GP.</w:t>
            </w:r>
          </w:p>
          <w:p w:rsidR="00AE1364" w:rsidRDefault="00AE1364" w:rsidP="007950A0">
            <w:pPr>
              <w:jc w:val="both"/>
            </w:pPr>
          </w:p>
          <w:p w:rsidR="00F44293" w:rsidRDefault="00AE1364" w:rsidP="007950A0">
            <w:pPr>
              <w:jc w:val="both"/>
            </w:pPr>
            <w:r>
              <w:t>Data collected by the service will become part of patients’’ long term primary care record and will be retain in line with legalisation, policy and good practice as applied to GP practices.</w:t>
            </w:r>
          </w:p>
          <w:p w:rsidR="00F44293" w:rsidRDefault="00F44293" w:rsidP="007950A0">
            <w:pPr>
              <w:jc w:val="both"/>
            </w:pPr>
          </w:p>
        </w:tc>
      </w:tr>
    </w:tbl>
    <w:p w:rsidR="00F44293" w:rsidRDefault="00F44293"/>
    <w:tbl>
      <w:tblPr>
        <w:tblStyle w:val="TableGrid"/>
        <w:tblW w:w="0" w:type="auto"/>
        <w:tblLook w:val="04A0" w:firstRow="1" w:lastRow="0" w:firstColumn="1" w:lastColumn="0" w:noHBand="0" w:noVBand="1"/>
      </w:tblPr>
      <w:tblGrid>
        <w:gridCol w:w="9242"/>
      </w:tblGrid>
      <w:tr w:rsidR="00F44293" w:rsidRPr="003726A1" w:rsidTr="003726A1">
        <w:tc>
          <w:tcPr>
            <w:tcW w:w="9242" w:type="dxa"/>
          </w:tcPr>
          <w:p w:rsidR="00F44293" w:rsidRDefault="00F44293" w:rsidP="007950A0">
            <w:pPr>
              <w:jc w:val="both"/>
            </w:pPr>
            <w:r>
              <w:rPr>
                <w:b/>
              </w:rPr>
              <w:lastRenderedPageBreak/>
              <w:t xml:space="preserve">Describe the contact of the processing: </w:t>
            </w:r>
            <w:r>
              <w:t>What is the nature of your relationship with the individuals?  How much control will they have?  Would they expect you to use their data in this way?  Do they include children or other vulnerable groups?  Are there prior concerns over this type of processing or security flaws?  Is it novel in any way?  What is the current state of technology in this area?  Are there any current issues of public concern that you should factor in?  Are you signed up to any approved code of conduct or certification scheme (once any have been approved)?</w:t>
            </w:r>
          </w:p>
          <w:p w:rsidR="00F44293" w:rsidRPr="00F44293" w:rsidRDefault="00F44293" w:rsidP="007950A0">
            <w:pPr>
              <w:jc w:val="both"/>
            </w:pPr>
          </w:p>
        </w:tc>
      </w:tr>
      <w:tr w:rsidR="00F44293" w:rsidRPr="003726A1" w:rsidTr="003726A1">
        <w:tc>
          <w:tcPr>
            <w:tcW w:w="9242" w:type="dxa"/>
          </w:tcPr>
          <w:p w:rsidR="00F44293" w:rsidRDefault="00F44293" w:rsidP="007950A0">
            <w:pPr>
              <w:jc w:val="both"/>
            </w:pPr>
          </w:p>
          <w:p w:rsidR="005F2C5B" w:rsidRPr="00D14C12" w:rsidRDefault="005F2C5B" w:rsidP="007950A0">
            <w:pPr>
              <w:jc w:val="both"/>
              <w:rPr>
                <w:b/>
              </w:rPr>
            </w:pPr>
            <w:r w:rsidRPr="00D14C12">
              <w:rPr>
                <w:b/>
              </w:rPr>
              <w:t xml:space="preserve">Who </w:t>
            </w:r>
            <w:proofErr w:type="gramStart"/>
            <w:r w:rsidRPr="00D14C12">
              <w:rPr>
                <w:b/>
              </w:rPr>
              <w:t>is</w:t>
            </w:r>
            <w:proofErr w:type="gramEnd"/>
            <w:r w:rsidRPr="00D14C12">
              <w:rPr>
                <w:b/>
              </w:rPr>
              <w:t xml:space="preserve"> the data controller and processor?</w:t>
            </w:r>
          </w:p>
          <w:p w:rsidR="00F13056" w:rsidRDefault="00F13056" w:rsidP="007950A0">
            <w:pPr>
              <w:jc w:val="both"/>
            </w:pPr>
          </w:p>
          <w:p w:rsidR="00F13056" w:rsidRDefault="00F13056" w:rsidP="007950A0">
            <w:pPr>
              <w:jc w:val="both"/>
            </w:pPr>
            <w:r>
              <w:t>Data controllers:</w:t>
            </w:r>
          </w:p>
          <w:p w:rsidR="00F13056" w:rsidRDefault="00F13056" w:rsidP="007950A0">
            <w:pPr>
              <w:jc w:val="both"/>
            </w:pPr>
            <w:r>
              <w:t xml:space="preserve"> </w:t>
            </w:r>
          </w:p>
          <w:p w:rsidR="00F13056" w:rsidRDefault="00F13056" w:rsidP="00D14C12">
            <w:pPr>
              <w:pStyle w:val="ListParagraph"/>
              <w:numPr>
                <w:ilvl w:val="0"/>
                <w:numId w:val="25"/>
              </w:numPr>
              <w:jc w:val="both"/>
            </w:pPr>
            <w:proofErr w:type="spellStart"/>
            <w:r>
              <w:t>eRS</w:t>
            </w:r>
            <w:proofErr w:type="spellEnd"/>
            <w:r>
              <w:t>: NHS England</w:t>
            </w:r>
          </w:p>
          <w:p w:rsidR="00F13056" w:rsidRDefault="00F13056" w:rsidP="00D14C12">
            <w:pPr>
              <w:pStyle w:val="ListParagraph"/>
              <w:numPr>
                <w:ilvl w:val="0"/>
                <w:numId w:val="25"/>
              </w:numPr>
              <w:jc w:val="both"/>
            </w:pPr>
            <w:r>
              <w:t>Patient records in Vision 360: individual GP practices</w:t>
            </w:r>
          </w:p>
          <w:p w:rsidR="00F13056" w:rsidRDefault="00F13056" w:rsidP="00D14C12">
            <w:pPr>
              <w:pStyle w:val="ListParagraph"/>
              <w:numPr>
                <w:ilvl w:val="0"/>
                <w:numId w:val="25"/>
              </w:numPr>
              <w:jc w:val="both"/>
            </w:pPr>
            <w:r>
              <w:t>Appointments: West Kent GP federation</w:t>
            </w:r>
          </w:p>
          <w:p w:rsidR="00F13056" w:rsidRDefault="00F13056" w:rsidP="006600E8">
            <w:pPr>
              <w:jc w:val="both"/>
            </w:pPr>
          </w:p>
          <w:p w:rsidR="00F13056" w:rsidRDefault="00F13056" w:rsidP="006600E8">
            <w:pPr>
              <w:jc w:val="both"/>
            </w:pPr>
            <w:r>
              <w:t>Data processors:</w:t>
            </w:r>
          </w:p>
          <w:p w:rsidR="00F13056" w:rsidRDefault="00F13056" w:rsidP="006600E8">
            <w:pPr>
              <w:jc w:val="both"/>
            </w:pPr>
          </w:p>
          <w:p w:rsidR="00F13056" w:rsidRDefault="00F13056" w:rsidP="00D14C12">
            <w:pPr>
              <w:pStyle w:val="ListParagraph"/>
              <w:numPr>
                <w:ilvl w:val="0"/>
                <w:numId w:val="26"/>
              </w:numPr>
              <w:jc w:val="both"/>
            </w:pPr>
            <w:r>
              <w:t>Vision 360: In Practice Systems as application service provider</w:t>
            </w:r>
          </w:p>
          <w:p w:rsidR="00F13056" w:rsidRDefault="006600E8" w:rsidP="00D14C12">
            <w:pPr>
              <w:pStyle w:val="ListParagraph"/>
              <w:numPr>
                <w:ilvl w:val="0"/>
                <w:numId w:val="26"/>
              </w:numPr>
              <w:jc w:val="both"/>
            </w:pPr>
            <w:r>
              <w:t>Maidstone and Tunbridge Wells as employer of DSNs and clinical consultants</w:t>
            </w:r>
          </w:p>
          <w:p w:rsidR="006600E8" w:rsidRDefault="006600E8" w:rsidP="00D14C12">
            <w:pPr>
              <w:pStyle w:val="ListParagraph"/>
              <w:numPr>
                <w:ilvl w:val="0"/>
                <w:numId w:val="26"/>
              </w:numPr>
              <w:jc w:val="both"/>
            </w:pPr>
            <w:r>
              <w:t>GP practices as employers of GPs and practice nurses</w:t>
            </w:r>
          </w:p>
          <w:p w:rsidR="005F2C5B" w:rsidRDefault="005F2C5B" w:rsidP="007950A0">
            <w:pPr>
              <w:jc w:val="both"/>
            </w:pPr>
          </w:p>
          <w:p w:rsidR="005F2C5B" w:rsidRDefault="005F2C5B" w:rsidP="007950A0">
            <w:pPr>
              <w:jc w:val="both"/>
              <w:rPr>
                <w:b/>
              </w:rPr>
            </w:pPr>
            <w:r w:rsidRPr="00D14C12">
              <w:rPr>
                <w:b/>
              </w:rPr>
              <w:t>How much say do the patients have?</w:t>
            </w:r>
          </w:p>
          <w:p w:rsidR="006600E8" w:rsidRDefault="006600E8" w:rsidP="007950A0">
            <w:pPr>
              <w:jc w:val="both"/>
              <w:rPr>
                <w:b/>
              </w:rPr>
            </w:pPr>
          </w:p>
          <w:p w:rsidR="006600E8" w:rsidRPr="006600E8" w:rsidRDefault="006600E8" w:rsidP="007950A0">
            <w:pPr>
              <w:jc w:val="both"/>
            </w:pPr>
            <w:r>
              <w:t xml:space="preserve">Data processing is part of delivery of direct healthcare services. </w:t>
            </w:r>
          </w:p>
          <w:p w:rsidR="00F44293" w:rsidRDefault="00F44293" w:rsidP="007950A0">
            <w:pPr>
              <w:jc w:val="both"/>
            </w:pPr>
          </w:p>
          <w:p w:rsidR="00F44293" w:rsidRPr="00D14C12" w:rsidRDefault="005F2C5B" w:rsidP="007950A0">
            <w:pPr>
              <w:jc w:val="both"/>
              <w:rPr>
                <w:b/>
              </w:rPr>
            </w:pPr>
            <w:r w:rsidRPr="00D14C12">
              <w:rPr>
                <w:b/>
              </w:rPr>
              <w:t>What have patients been told about the service and who will be accessing their records?</w:t>
            </w:r>
          </w:p>
          <w:p w:rsidR="00F44293" w:rsidRDefault="00F44293" w:rsidP="007950A0">
            <w:pPr>
              <w:jc w:val="both"/>
            </w:pPr>
          </w:p>
          <w:p w:rsidR="006600E8" w:rsidRDefault="006600E8" w:rsidP="007950A0">
            <w:pPr>
              <w:jc w:val="both"/>
            </w:pPr>
            <w:r>
              <w:t>All GP practices have information about what records are shared within their individual privacy notices. Patient will also be informed by the GP when referred into the service.</w:t>
            </w:r>
          </w:p>
          <w:p w:rsidR="006600E8" w:rsidRDefault="006600E8" w:rsidP="007950A0">
            <w:pPr>
              <w:jc w:val="both"/>
            </w:pPr>
          </w:p>
          <w:p w:rsidR="00F44293" w:rsidRPr="009B4EF2" w:rsidRDefault="005F2C5B" w:rsidP="007950A0">
            <w:pPr>
              <w:jc w:val="both"/>
            </w:pPr>
            <w:r w:rsidRPr="009B4EF2">
              <w:t>What information is provided to young adults and other vulnerable patient groups i.e., learning disability?</w:t>
            </w:r>
          </w:p>
          <w:p w:rsidR="00F44293" w:rsidRPr="009B4EF2" w:rsidRDefault="00F44293" w:rsidP="007950A0">
            <w:pPr>
              <w:jc w:val="both"/>
            </w:pPr>
          </w:p>
          <w:p w:rsidR="00F44293" w:rsidRPr="009B4EF2" w:rsidRDefault="005F2C5B" w:rsidP="007950A0">
            <w:pPr>
              <w:jc w:val="both"/>
            </w:pPr>
            <w:r w:rsidRPr="009B4EF2">
              <w:t>Concerns re data flows i.e., inappropriate access to records, access controls, privacy alerts.</w:t>
            </w:r>
          </w:p>
          <w:p w:rsidR="00BF70B4" w:rsidRDefault="00BF70B4" w:rsidP="00BF70B4">
            <w:pPr>
              <w:jc w:val="both"/>
            </w:pPr>
            <w:r w:rsidRPr="009B4EF2">
              <w:t>Technology – established – audit logs, access controls,</w:t>
            </w:r>
            <w:r>
              <w:t xml:space="preserve"> </w:t>
            </w:r>
          </w:p>
          <w:p w:rsidR="00F44293" w:rsidRDefault="00F44293" w:rsidP="007950A0">
            <w:pPr>
              <w:jc w:val="both"/>
            </w:pPr>
          </w:p>
          <w:p w:rsidR="00BF70B4" w:rsidRDefault="00BF70B4" w:rsidP="007950A0">
            <w:pPr>
              <w:jc w:val="both"/>
              <w:rPr>
                <w:b/>
              </w:rPr>
            </w:pPr>
            <w:r w:rsidRPr="00D14C12">
              <w:rPr>
                <w:b/>
              </w:rPr>
              <w:t>Vision access controls</w:t>
            </w:r>
          </w:p>
          <w:p w:rsidR="00D7471A" w:rsidRDefault="00282AED" w:rsidP="007950A0">
            <w:pPr>
              <w:jc w:val="both"/>
            </w:pPr>
            <w:r>
              <w:t xml:space="preserve">User access to Vision 360 is managed by unique usernames and passwords. These are issued to authorised users. Users can only logon to the services that are appropriate to their role e.g. are they clinical (view patients records) or administrative (view referrals and booking system only). When clinicians needs to access patient records there asked if they have consent or another legitimate reason to access the records. This is logged and privacy officer alerts are </w:t>
            </w:r>
            <w:r w:rsidR="00D7471A">
              <w:t>triggered if required. System access is logged for audit purposes.</w:t>
            </w:r>
          </w:p>
          <w:p w:rsidR="00D7471A" w:rsidRDefault="00D7471A" w:rsidP="007950A0">
            <w:pPr>
              <w:jc w:val="both"/>
            </w:pPr>
          </w:p>
          <w:p w:rsidR="00282AED" w:rsidRPr="00D14C12" w:rsidRDefault="00D7471A" w:rsidP="007950A0">
            <w:pPr>
              <w:jc w:val="both"/>
            </w:pPr>
            <w:r>
              <w:t xml:space="preserve">When a consultation is saved in Vision Anywhere the patient’s registered practice is </w:t>
            </w:r>
            <w:r>
              <w:lastRenderedPageBreak/>
              <w:t>notified so that can review the data before it is applied to the patient records.</w:t>
            </w:r>
            <w:r w:rsidR="00282AED">
              <w:t xml:space="preserve">    </w:t>
            </w:r>
          </w:p>
          <w:p w:rsidR="00282AED" w:rsidRPr="00D14C12" w:rsidRDefault="00282AED" w:rsidP="007950A0">
            <w:pPr>
              <w:jc w:val="both"/>
              <w:rPr>
                <w:b/>
              </w:rPr>
            </w:pPr>
          </w:p>
          <w:p w:rsidR="00BF70B4" w:rsidRDefault="00BF70B4" w:rsidP="007950A0">
            <w:pPr>
              <w:jc w:val="both"/>
            </w:pPr>
          </w:p>
          <w:p w:rsidR="00BF70B4" w:rsidRDefault="00BF70B4" w:rsidP="007950A0">
            <w:pPr>
              <w:jc w:val="both"/>
              <w:rPr>
                <w:b/>
              </w:rPr>
            </w:pPr>
            <w:proofErr w:type="spellStart"/>
            <w:r w:rsidRPr="00D14C12">
              <w:rPr>
                <w:b/>
              </w:rPr>
              <w:t>eRS</w:t>
            </w:r>
            <w:proofErr w:type="spellEnd"/>
            <w:r>
              <w:rPr>
                <w:b/>
              </w:rPr>
              <w:t xml:space="preserve"> access controls</w:t>
            </w:r>
          </w:p>
          <w:p w:rsidR="00BF70B4" w:rsidRDefault="00BF70B4" w:rsidP="007950A0">
            <w:pPr>
              <w:jc w:val="both"/>
              <w:rPr>
                <w:b/>
              </w:rPr>
            </w:pPr>
          </w:p>
          <w:p w:rsidR="00BF70B4" w:rsidRPr="00D14C12" w:rsidRDefault="00BF70B4" w:rsidP="007950A0">
            <w:pPr>
              <w:jc w:val="both"/>
            </w:pPr>
            <w:proofErr w:type="spellStart"/>
            <w:proofErr w:type="gramStart"/>
            <w:r w:rsidRPr="00D14C12">
              <w:t>eRS</w:t>
            </w:r>
            <w:proofErr w:type="spellEnd"/>
            <w:proofErr w:type="gramEnd"/>
            <w:r w:rsidRPr="00D14C12">
              <w:t xml:space="preserve"> is a nationally provided service and access is controlled via Smartcards. </w:t>
            </w:r>
          </w:p>
          <w:p w:rsidR="00BF70B4" w:rsidRDefault="00BF70B4" w:rsidP="007950A0">
            <w:pPr>
              <w:jc w:val="both"/>
            </w:pPr>
          </w:p>
          <w:p w:rsidR="00F44293" w:rsidRDefault="00BF70B4" w:rsidP="007950A0">
            <w:pPr>
              <w:jc w:val="both"/>
            </w:pPr>
            <w:r>
              <w:t>The approach used by the project is not deemed as ‘novel’ as it based on using existing technologies.</w:t>
            </w:r>
          </w:p>
          <w:p w:rsidR="000160E8" w:rsidRDefault="000160E8" w:rsidP="007950A0">
            <w:pPr>
              <w:jc w:val="both"/>
            </w:pPr>
          </w:p>
          <w:p w:rsidR="00F44293" w:rsidRDefault="00F44293" w:rsidP="007950A0">
            <w:pPr>
              <w:jc w:val="both"/>
            </w:pPr>
          </w:p>
          <w:p w:rsidR="00F44293" w:rsidRDefault="000160E8" w:rsidP="007950A0">
            <w:pPr>
              <w:jc w:val="both"/>
            </w:pPr>
            <w:r>
              <w:t>No public concern issues</w:t>
            </w:r>
          </w:p>
          <w:p w:rsidR="000160E8" w:rsidRDefault="000160E8" w:rsidP="007950A0">
            <w:pPr>
              <w:jc w:val="both"/>
            </w:pPr>
          </w:p>
          <w:p w:rsidR="000160E8" w:rsidRDefault="000160E8" w:rsidP="007950A0">
            <w:pPr>
              <w:jc w:val="both"/>
            </w:pPr>
            <w:r>
              <w:t xml:space="preserve">Everyone party to the data is compliant with the Data Protection and Security Toolkit, ISO 27001 or equivalent.  </w:t>
            </w:r>
            <w:r w:rsidR="00BF70B4">
              <w:t>MTW is w</w:t>
            </w:r>
            <w:r>
              <w:t>orking towards Cyber Essentials Plus.</w:t>
            </w:r>
          </w:p>
          <w:p w:rsidR="00F44293" w:rsidRDefault="00F44293" w:rsidP="007950A0">
            <w:pPr>
              <w:jc w:val="both"/>
            </w:pPr>
          </w:p>
          <w:p w:rsidR="00F44293" w:rsidRDefault="00F44293" w:rsidP="007950A0">
            <w:pPr>
              <w:jc w:val="both"/>
            </w:pPr>
          </w:p>
        </w:tc>
      </w:tr>
    </w:tbl>
    <w:p w:rsidR="00F44293" w:rsidRDefault="00F44293"/>
    <w:tbl>
      <w:tblPr>
        <w:tblStyle w:val="TableGrid"/>
        <w:tblW w:w="0" w:type="auto"/>
        <w:tblLook w:val="04A0" w:firstRow="1" w:lastRow="0" w:firstColumn="1" w:lastColumn="0" w:noHBand="0" w:noVBand="1"/>
      </w:tblPr>
      <w:tblGrid>
        <w:gridCol w:w="9242"/>
      </w:tblGrid>
      <w:tr w:rsidR="00F44293" w:rsidRPr="003726A1" w:rsidTr="003726A1">
        <w:tc>
          <w:tcPr>
            <w:tcW w:w="9242" w:type="dxa"/>
          </w:tcPr>
          <w:p w:rsidR="00F44293" w:rsidRDefault="00F44293" w:rsidP="00F44293">
            <w:pPr>
              <w:jc w:val="both"/>
            </w:pPr>
            <w:r>
              <w:rPr>
                <w:b/>
              </w:rPr>
              <w:t xml:space="preserve">Describe the purposes of the processing: </w:t>
            </w:r>
            <w:r>
              <w:t>What do you want to achieve?  What is the intended effect on individuals?  What are the benefits of the processing for you, and more broadly?</w:t>
            </w:r>
          </w:p>
          <w:p w:rsidR="00F44293" w:rsidRPr="00F44293" w:rsidRDefault="00F44293" w:rsidP="00F44293">
            <w:pPr>
              <w:jc w:val="both"/>
            </w:pPr>
          </w:p>
        </w:tc>
      </w:tr>
      <w:tr w:rsidR="00F44293" w:rsidRPr="003726A1" w:rsidTr="003726A1">
        <w:tc>
          <w:tcPr>
            <w:tcW w:w="9242" w:type="dxa"/>
          </w:tcPr>
          <w:p w:rsidR="00F44293" w:rsidRDefault="00F44293" w:rsidP="00F44293">
            <w:pPr>
              <w:jc w:val="both"/>
              <w:rPr>
                <w:b/>
              </w:rPr>
            </w:pPr>
          </w:p>
          <w:p w:rsidR="00F44293" w:rsidRDefault="000160E8" w:rsidP="00F44293">
            <w:pPr>
              <w:jc w:val="both"/>
            </w:pPr>
            <w:r w:rsidRPr="00D14C12">
              <w:t>The objective of the project is to ensure that MTW and West Kent CCG are able to collaborate, develop and implement a new integrated Diabetes service to deliver quality of care to our patients.</w:t>
            </w:r>
          </w:p>
          <w:p w:rsidR="00BF70B4" w:rsidRPr="00D14C12" w:rsidRDefault="00BF70B4" w:rsidP="00F44293">
            <w:pPr>
              <w:jc w:val="both"/>
            </w:pPr>
          </w:p>
          <w:p w:rsidR="000160E8" w:rsidRPr="00D14C12" w:rsidRDefault="000160E8" w:rsidP="00D14C12">
            <w:pPr>
              <w:jc w:val="both"/>
            </w:pPr>
            <w:r w:rsidRPr="00D14C12">
              <w:rPr>
                <w:b/>
              </w:rPr>
              <w:t>Desired outcomes/Success Criteria</w:t>
            </w:r>
          </w:p>
          <w:p w:rsidR="00BF70B4" w:rsidRPr="00D14C12" w:rsidRDefault="00BF70B4" w:rsidP="00D14C12">
            <w:pPr>
              <w:jc w:val="both"/>
              <w:rPr>
                <w:b/>
              </w:rPr>
            </w:pPr>
          </w:p>
          <w:p w:rsidR="00B36437" w:rsidRDefault="000160E8" w:rsidP="00D14C12">
            <w:pPr>
              <w:jc w:val="both"/>
            </w:pPr>
            <w:r w:rsidRPr="00D14C12">
              <w:t>The expected outcome/success criteria noted below:</w:t>
            </w:r>
          </w:p>
          <w:p w:rsidR="000160E8" w:rsidRPr="00D14C12" w:rsidRDefault="000160E8" w:rsidP="00D14C12">
            <w:pPr>
              <w:jc w:val="both"/>
            </w:pPr>
            <w:r w:rsidRPr="00D14C12">
              <w:t xml:space="preserve"> </w:t>
            </w:r>
          </w:p>
          <w:tbl>
            <w:tblPr>
              <w:tblW w:w="10598" w:type="dxa"/>
              <w:tblLook w:val="04A0" w:firstRow="1" w:lastRow="0" w:firstColumn="1" w:lastColumn="0" w:noHBand="0" w:noVBand="1"/>
            </w:tblPr>
            <w:tblGrid>
              <w:gridCol w:w="9026"/>
            </w:tblGrid>
            <w:tr w:rsidR="000160E8" w:rsidRPr="009404D3" w:rsidTr="000160E8">
              <w:trPr>
                <w:trHeight w:val="600"/>
              </w:trPr>
              <w:tc>
                <w:tcPr>
                  <w:tcW w:w="10598" w:type="dxa"/>
                  <w:shd w:val="clear" w:color="000000" w:fill="FFFFFF"/>
                  <w:vAlign w:val="center"/>
                  <w:hideMark/>
                </w:tcPr>
                <w:p w:rsidR="000160E8" w:rsidRPr="00D14C12" w:rsidRDefault="000160E8" w:rsidP="00D14C12">
                  <w:pPr>
                    <w:pStyle w:val="ListParagraph"/>
                    <w:numPr>
                      <w:ilvl w:val="0"/>
                      <w:numId w:val="27"/>
                    </w:numPr>
                    <w:spacing w:after="0" w:line="240" w:lineRule="auto"/>
                    <w:jc w:val="both"/>
                  </w:pPr>
                  <w:r w:rsidRPr="00D14C12">
                    <w:t>Achieve key objectives within the timeline identified within the action plan.</w:t>
                  </w:r>
                </w:p>
                <w:p w:rsidR="000160E8" w:rsidRPr="00D14C12" w:rsidRDefault="000160E8" w:rsidP="00D14C12">
                  <w:pPr>
                    <w:pStyle w:val="ListParagraph"/>
                    <w:numPr>
                      <w:ilvl w:val="0"/>
                      <w:numId w:val="27"/>
                    </w:numPr>
                    <w:spacing w:after="0" w:line="240" w:lineRule="auto"/>
                    <w:jc w:val="both"/>
                  </w:pPr>
                  <w:r w:rsidRPr="00D14C12">
                    <w:t>Improved achievement of all 9 care processes for Type I diabetic patients (Detail to be quantified during the analysis phase.)</w:t>
                  </w:r>
                </w:p>
              </w:tc>
            </w:tr>
            <w:tr w:rsidR="000160E8" w:rsidRPr="009404D3" w:rsidTr="000160E8">
              <w:trPr>
                <w:trHeight w:val="600"/>
              </w:trPr>
              <w:tc>
                <w:tcPr>
                  <w:tcW w:w="10598" w:type="dxa"/>
                  <w:shd w:val="clear" w:color="000000" w:fill="FFFFFF"/>
                  <w:vAlign w:val="center"/>
                  <w:hideMark/>
                </w:tcPr>
                <w:p w:rsidR="000160E8" w:rsidRPr="00D14C12" w:rsidRDefault="000160E8" w:rsidP="00D14C12">
                  <w:pPr>
                    <w:pStyle w:val="ListParagraph"/>
                    <w:numPr>
                      <w:ilvl w:val="0"/>
                      <w:numId w:val="27"/>
                    </w:numPr>
                    <w:spacing w:after="0" w:line="240" w:lineRule="auto"/>
                    <w:jc w:val="both"/>
                  </w:pPr>
                  <w:r w:rsidRPr="00D14C12">
                    <w:t>Improved achievement of all 9 care processes for Type II diabetic patients (Detail to be quantified during the analysis phase.)</w:t>
                  </w:r>
                </w:p>
              </w:tc>
            </w:tr>
            <w:tr w:rsidR="000160E8" w:rsidRPr="009404D3" w:rsidTr="000160E8">
              <w:trPr>
                <w:trHeight w:val="300"/>
              </w:trPr>
              <w:tc>
                <w:tcPr>
                  <w:tcW w:w="10598" w:type="dxa"/>
                  <w:shd w:val="clear" w:color="000000" w:fill="FFFFFF"/>
                  <w:noWrap/>
                  <w:vAlign w:val="bottom"/>
                  <w:hideMark/>
                </w:tcPr>
                <w:p w:rsidR="000160E8" w:rsidRPr="00D14C12" w:rsidRDefault="000160E8" w:rsidP="00D14C12">
                  <w:pPr>
                    <w:pStyle w:val="ListParagraph"/>
                    <w:numPr>
                      <w:ilvl w:val="0"/>
                      <w:numId w:val="27"/>
                    </w:numPr>
                    <w:spacing w:after="0" w:line="240" w:lineRule="auto"/>
                    <w:jc w:val="both"/>
                  </w:pPr>
                  <w:r w:rsidRPr="00D14C12">
                    <w:t>Reduction in diabetic complications emergency admissions (Detail to be quantified during the analysis phase)</w:t>
                  </w:r>
                </w:p>
              </w:tc>
            </w:tr>
            <w:tr w:rsidR="000160E8" w:rsidRPr="009404D3" w:rsidTr="000160E8">
              <w:trPr>
                <w:trHeight w:val="300"/>
              </w:trPr>
              <w:tc>
                <w:tcPr>
                  <w:tcW w:w="10598" w:type="dxa"/>
                  <w:shd w:val="clear" w:color="000000" w:fill="FFFFFF"/>
                  <w:vAlign w:val="center"/>
                  <w:hideMark/>
                </w:tcPr>
                <w:p w:rsidR="000160E8" w:rsidRPr="00D14C12" w:rsidRDefault="000160E8" w:rsidP="00D14C12">
                  <w:pPr>
                    <w:pStyle w:val="ListParagraph"/>
                    <w:numPr>
                      <w:ilvl w:val="0"/>
                      <w:numId w:val="27"/>
                    </w:numPr>
                    <w:spacing w:after="0" w:line="240" w:lineRule="auto"/>
                    <w:jc w:val="both"/>
                  </w:pPr>
                  <w:r w:rsidRPr="00D14C12">
                    <w:t>Reduction in diabetic prescribing costs (Detail to be quantified during the analysis phase)</w:t>
                  </w:r>
                </w:p>
              </w:tc>
            </w:tr>
            <w:tr w:rsidR="000160E8" w:rsidRPr="009404D3" w:rsidTr="000160E8">
              <w:trPr>
                <w:trHeight w:val="300"/>
              </w:trPr>
              <w:tc>
                <w:tcPr>
                  <w:tcW w:w="10598" w:type="dxa"/>
                  <w:shd w:val="clear" w:color="000000" w:fill="FFFFFF"/>
                  <w:vAlign w:val="center"/>
                  <w:hideMark/>
                </w:tcPr>
                <w:p w:rsidR="000160E8" w:rsidRPr="00D14C12" w:rsidRDefault="000160E8" w:rsidP="00D14C12">
                  <w:pPr>
                    <w:pStyle w:val="ListParagraph"/>
                    <w:numPr>
                      <w:ilvl w:val="0"/>
                      <w:numId w:val="27"/>
                    </w:numPr>
                    <w:spacing w:after="0" w:line="240" w:lineRule="auto"/>
                    <w:jc w:val="both"/>
                  </w:pPr>
                  <w:r w:rsidRPr="00D14C12">
                    <w:t>Increased patient satisfaction (Detail to be quantified during the analysis phase)</w:t>
                  </w:r>
                </w:p>
              </w:tc>
            </w:tr>
            <w:tr w:rsidR="000160E8" w:rsidRPr="009404D3" w:rsidTr="000160E8">
              <w:trPr>
                <w:trHeight w:val="600"/>
              </w:trPr>
              <w:tc>
                <w:tcPr>
                  <w:tcW w:w="10598" w:type="dxa"/>
                  <w:shd w:val="clear" w:color="000000" w:fill="FFFFFF"/>
                  <w:vAlign w:val="center"/>
                  <w:hideMark/>
                </w:tcPr>
                <w:p w:rsidR="000160E8" w:rsidRPr="00D14C12" w:rsidRDefault="000160E8" w:rsidP="00D14C12">
                  <w:pPr>
                    <w:pStyle w:val="ListParagraph"/>
                    <w:numPr>
                      <w:ilvl w:val="0"/>
                      <w:numId w:val="27"/>
                    </w:numPr>
                    <w:spacing w:after="0" w:line="240" w:lineRule="auto"/>
                    <w:jc w:val="both"/>
                  </w:pPr>
                  <w:r w:rsidRPr="00D14C12">
                    <w:t>Improved access to psychological support for diabetic patients (Detail to be quantified during the analysis phase)</w:t>
                  </w:r>
                </w:p>
              </w:tc>
            </w:tr>
            <w:tr w:rsidR="000160E8" w:rsidRPr="009404D3" w:rsidTr="000160E8">
              <w:trPr>
                <w:trHeight w:val="300"/>
              </w:trPr>
              <w:tc>
                <w:tcPr>
                  <w:tcW w:w="10598" w:type="dxa"/>
                  <w:shd w:val="clear" w:color="000000" w:fill="FFFFFF"/>
                  <w:vAlign w:val="center"/>
                  <w:hideMark/>
                </w:tcPr>
                <w:p w:rsidR="000160E8" w:rsidRPr="00D14C12" w:rsidRDefault="000160E8" w:rsidP="00D14C12">
                  <w:pPr>
                    <w:pStyle w:val="ListParagraph"/>
                    <w:numPr>
                      <w:ilvl w:val="0"/>
                      <w:numId w:val="27"/>
                    </w:numPr>
                    <w:spacing w:after="0" w:line="240" w:lineRule="auto"/>
                    <w:jc w:val="both"/>
                  </w:pPr>
                  <w:r w:rsidRPr="00D14C12">
                    <w:t>Primary Care take up of EDEN training for diabetes management (Detail to be quantified during the analysis phase)</w:t>
                  </w:r>
                </w:p>
              </w:tc>
            </w:tr>
            <w:tr w:rsidR="000160E8" w:rsidRPr="009404D3" w:rsidTr="000160E8">
              <w:trPr>
                <w:trHeight w:val="300"/>
              </w:trPr>
              <w:tc>
                <w:tcPr>
                  <w:tcW w:w="10598" w:type="dxa"/>
                  <w:shd w:val="clear" w:color="000000" w:fill="FFFFFF"/>
                  <w:vAlign w:val="center"/>
                  <w:hideMark/>
                </w:tcPr>
                <w:p w:rsidR="000160E8" w:rsidRPr="00D14C12" w:rsidRDefault="000160E8" w:rsidP="00D14C12">
                  <w:pPr>
                    <w:pStyle w:val="ListParagraph"/>
                    <w:numPr>
                      <w:ilvl w:val="0"/>
                      <w:numId w:val="27"/>
                    </w:numPr>
                    <w:spacing w:after="0" w:line="240" w:lineRule="auto"/>
                    <w:jc w:val="both"/>
                  </w:pPr>
                  <w:r w:rsidRPr="00D14C12">
                    <w:t>DERIK training provision for diabetic patients (Detail to be quantified during the analysis phase)</w:t>
                  </w:r>
                </w:p>
              </w:tc>
            </w:tr>
            <w:tr w:rsidR="000160E8" w:rsidRPr="009404D3" w:rsidTr="000160E8">
              <w:trPr>
                <w:trHeight w:val="300"/>
              </w:trPr>
              <w:tc>
                <w:tcPr>
                  <w:tcW w:w="10598" w:type="dxa"/>
                  <w:shd w:val="clear" w:color="000000" w:fill="FFFFFF"/>
                  <w:noWrap/>
                  <w:vAlign w:val="bottom"/>
                  <w:hideMark/>
                </w:tcPr>
                <w:p w:rsidR="000160E8" w:rsidRPr="00D14C12" w:rsidRDefault="000160E8" w:rsidP="00D14C12">
                  <w:pPr>
                    <w:pStyle w:val="ListParagraph"/>
                    <w:numPr>
                      <w:ilvl w:val="0"/>
                      <w:numId w:val="27"/>
                    </w:numPr>
                    <w:spacing w:after="0" w:line="240" w:lineRule="auto"/>
                    <w:jc w:val="both"/>
                  </w:pPr>
                  <w:r w:rsidRPr="00D14C12">
                    <w:t>DAFNE training provision for diabetic patients (Detail to be quantified during the analysis phase)</w:t>
                  </w:r>
                </w:p>
                <w:p w:rsidR="000160E8" w:rsidRPr="00D14C12" w:rsidRDefault="000160E8" w:rsidP="00D14C12">
                  <w:pPr>
                    <w:pStyle w:val="ListParagraph"/>
                    <w:numPr>
                      <w:ilvl w:val="0"/>
                      <w:numId w:val="27"/>
                    </w:numPr>
                    <w:spacing w:after="0" w:line="240" w:lineRule="auto"/>
                    <w:jc w:val="both"/>
                  </w:pPr>
                  <w:r w:rsidRPr="00D14C12">
                    <w:lastRenderedPageBreak/>
                    <w:t xml:space="preserve">Technology interface between new </w:t>
                  </w:r>
                  <w:proofErr w:type="gramStart"/>
                  <w:r w:rsidRPr="00D14C12">
                    <w:t>technology</w:t>
                  </w:r>
                  <w:proofErr w:type="gramEnd"/>
                  <w:r w:rsidRPr="00D14C12">
                    <w:t xml:space="preserve"> enablers.</w:t>
                  </w:r>
                </w:p>
              </w:tc>
            </w:tr>
          </w:tbl>
          <w:p w:rsidR="000160E8" w:rsidRDefault="000160E8" w:rsidP="00F44293">
            <w:pPr>
              <w:jc w:val="both"/>
              <w:rPr>
                <w:b/>
              </w:rPr>
            </w:pPr>
          </w:p>
          <w:p w:rsidR="00F44293" w:rsidRDefault="00F44293" w:rsidP="00F44293">
            <w:pPr>
              <w:jc w:val="both"/>
              <w:rPr>
                <w:b/>
              </w:rPr>
            </w:pPr>
          </w:p>
        </w:tc>
      </w:tr>
    </w:tbl>
    <w:p w:rsidR="003726A1" w:rsidRDefault="003726A1" w:rsidP="00BC53F4">
      <w:pPr>
        <w:spacing w:line="240" w:lineRule="auto"/>
      </w:pPr>
    </w:p>
    <w:tbl>
      <w:tblPr>
        <w:tblStyle w:val="TableGrid"/>
        <w:tblW w:w="0" w:type="auto"/>
        <w:tblLook w:val="04A0" w:firstRow="1" w:lastRow="0" w:firstColumn="1" w:lastColumn="0" w:noHBand="0" w:noVBand="1"/>
      </w:tblPr>
      <w:tblGrid>
        <w:gridCol w:w="9242"/>
      </w:tblGrid>
      <w:tr w:rsidR="003726A1" w:rsidRPr="003726A1" w:rsidTr="003726A1">
        <w:tc>
          <w:tcPr>
            <w:tcW w:w="9242" w:type="dxa"/>
          </w:tcPr>
          <w:p w:rsidR="003726A1" w:rsidRPr="003726A1" w:rsidRDefault="00F44293" w:rsidP="003726A1">
            <w:pPr>
              <w:pStyle w:val="Heading2"/>
              <w:outlineLvl w:val="1"/>
            </w:pPr>
            <w:r>
              <w:t xml:space="preserve">Step 3: </w:t>
            </w:r>
            <w:r w:rsidR="003726A1" w:rsidRPr="003726A1">
              <w:t xml:space="preserve">Consultation requirements </w:t>
            </w:r>
          </w:p>
        </w:tc>
      </w:tr>
      <w:tr w:rsidR="0065556A" w:rsidRPr="003726A1" w:rsidTr="003726A1">
        <w:tc>
          <w:tcPr>
            <w:tcW w:w="9242" w:type="dxa"/>
          </w:tcPr>
          <w:p w:rsidR="00DE465F" w:rsidRPr="00F44293" w:rsidRDefault="00F44293" w:rsidP="00440458">
            <w:r>
              <w:rPr>
                <w:b/>
              </w:rPr>
              <w:t xml:space="preserve">Consider how to consult with relevant stakeholders: </w:t>
            </w:r>
            <w:r>
              <w:t>Describe when and how you will seek individual’s views – or justify why it is not appropriate to do so.  Who else do you need to involve within the Trust?  Do you need to ask your processors to assist?  Do you plan to consult information security experts, or any other experts?</w:t>
            </w:r>
          </w:p>
          <w:p w:rsidR="00440458" w:rsidRPr="00FD7569" w:rsidRDefault="00440458" w:rsidP="00440458"/>
        </w:tc>
      </w:tr>
      <w:tr w:rsidR="00F44293" w:rsidRPr="003726A1" w:rsidTr="003726A1">
        <w:tc>
          <w:tcPr>
            <w:tcW w:w="9242" w:type="dxa"/>
          </w:tcPr>
          <w:p w:rsidR="00F44293" w:rsidRDefault="00F44293" w:rsidP="00440458">
            <w:pPr>
              <w:rPr>
                <w:b/>
              </w:rPr>
            </w:pPr>
          </w:p>
          <w:p w:rsidR="00F44293" w:rsidRPr="009B4EF2" w:rsidRDefault="000160E8" w:rsidP="00440458">
            <w:pPr>
              <w:rPr>
                <w:b/>
              </w:rPr>
            </w:pPr>
            <w:r w:rsidRPr="009B4EF2">
              <w:rPr>
                <w:b/>
              </w:rPr>
              <w:t xml:space="preserve">Describe when and how you will seek individual’s views – or justify why it is not appropriate to do so.  </w:t>
            </w:r>
          </w:p>
          <w:p w:rsidR="00F44293" w:rsidRDefault="00F44293" w:rsidP="00440458">
            <w:pPr>
              <w:rPr>
                <w:b/>
              </w:rPr>
            </w:pPr>
          </w:p>
          <w:p w:rsidR="00F44293" w:rsidRPr="00D14C12" w:rsidRDefault="004E492D" w:rsidP="00440458">
            <w:r w:rsidRPr="00D14C12">
              <w:t xml:space="preserve">The project is being overseen by the Diabetes Implementation </w:t>
            </w:r>
            <w:r>
              <w:t>G</w:t>
            </w:r>
            <w:r w:rsidRPr="00D14C12">
              <w:t>roup</w:t>
            </w:r>
            <w:r>
              <w:t xml:space="preserve"> which is comprised of clinical, </w:t>
            </w:r>
            <w:proofErr w:type="gramStart"/>
            <w:r>
              <w:t>managerial  and</w:t>
            </w:r>
            <w:proofErr w:type="gramEnd"/>
            <w:r>
              <w:t xml:space="preserve"> administrative staff from all stakeholder organisations (the CCG, MTW, GP Federation, KCHFT). All aspects of the service’s design, development and implementation </w:t>
            </w:r>
            <w:proofErr w:type="gramStart"/>
            <w:r>
              <w:t>is</w:t>
            </w:r>
            <w:proofErr w:type="gramEnd"/>
            <w:r>
              <w:t xml:space="preserve"> managed by the DIG. Members are expected to consult with relevant colleagues in their respective organisations.   </w:t>
            </w:r>
            <w:r w:rsidRPr="00D14C12">
              <w:t xml:space="preserve"> </w:t>
            </w:r>
          </w:p>
          <w:p w:rsidR="00F44293" w:rsidRDefault="00F44293" w:rsidP="00440458">
            <w:pPr>
              <w:rPr>
                <w:b/>
              </w:rPr>
            </w:pPr>
          </w:p>
          <w:p w:rsidR="00F44293" w:rsidRDefault="00F44293" w:rsidP="00440458">
            <w:pPr>
              <w:rPr>
                <w:b/>
              </w:rPr>
            </w:pPr>
          </w:p>
          <w:p w:rsidR="00F44293" w:rsidRDefault="00F44293" w:rsidP="00440458">
            <w:pPr>
              <w:rPr>
                <w:b/>
              </w:rPr>
            </w:pPr>
          </w:p>
          <w:p w:rsidR="00F44293" w:rsidRDefault="00F44293" w:rsidP="00440458">
            <w:pPr>
              <w:rPr>
                <w:b/>
              </w:rPr>
            </w:pPr>
          </w:p>
          <w:p w:rsidR="00F44293" w:rsidRDefault="00F44293" w:rsidP="00440458">
            <w:pPr>
              <w:rPr>
                <w:b/>
              </w:rPr>
            </w:pPr>
          </w:p>
          <w:p w:rsidR="00F44293" w:rsidRDefault="00F44293" w:rsidP="00440458">
            <w:pPr>
              <w:rPr>
                <w:b/>
              </w:rPr>
            </w:pPr>
          </w:p>
          <w:p w:rsidR="00F44293" w:rsidRDefault="00F44293" w:rsidP="00440458">
            <w:pPr>
              <w:rPr>
                <w:b/>
              </w:rPr>
            </w:pPr>
          </w:p>
        </w:tc>
      </w:tr>
    </w:tbl>
    <w:p w:rsidR="00F44293" w:rsidRDefault="00F44293"/>
    <w:tbl>
      <w:tblPr>
        <w:tblStyle w:val="TableGrid"/>
        <w:tblW w:w="0" w:type="auto"/>
        <w:tblLook w:val="04A0" w:firstRow="1" w:lastRow="0" w:firstColumn="1" w:lastColumn="0" w:noHBand="0" w:noVBand="1"/>
      </w:tblPr>
      <w:tblGrid>
        <w:gridCol w:w="9242"/>
      </w:tblGrid>
      <w:tr w:rsidR="00F44293" w:rsidRPr="003726A1" w:rsidTr="003726A1">
        <w:tc>
          <w:tcPr>
            <w:tcW w:w="9242" w:type="dxa"/>
          </w:tcPr>
          <w:p w:rsidR="00F44293" w:rsidRPr="000E0AA2" w:rsidRDefault="00F44293" w:rsidP="000E0AA2">
            <w:pPr>
              <w:pStyle w:val="Heading2"/>
              <w:outlineLvl w:val="1"/>
            </w:pPr>
            <w:r w:rsidRPr="000E0AA2">
              <w:t>Step 4: Assess necessity and proportionality</w:t>
            </w:r>
          </w:p>
        </w:tc>
      </w:tr>
      <w:tr w:rsidR="00F44293" w:rsidRPr="003726A1" w:rsidTr="003726A1">
        <w:tc>
          <w:tcPr>
            <w:tcW w:w="9242" w:type="dxa"/>
          </w:tcPr>
          <w:p w:rsidR="00F44293" w:rsidRDefault="000E0AA2" w:rsidP="00440458">
            <w:r>
              <w:rPr>
                <w:b/>
              </w:rPr>
              <w:t>Describe compliance and proportionality measures, in particular:</w:t>
            </w:r>
            <w:r>
              <w:t xml:space="preserve"> What is your lawful basis for processing?  Does the processing actually achieve your purpose?  Is there another way to achieve the same outcome?  How will you prevent function creep? How will you ensure data quality and data minimisation?  What information will you give individuals?  How will you help to support their rights?  What measures do you take to ensure processors comply?  How do you safeguard any international transfers?</w:t>
            </w:r>
          </w:p>
          <w:p w:rsidR="000E0AA2" w:rsidRPr="000E0AA2" w:rsidRDefault="000E0AA2" w:rsidP="00440458"/>
        </w:tc>
      </w:tr>
      <w:tr w:rsidR="000E0AA2" w:rsidRPr="003726A1" w:rsidTr="003726A1">
        <w:tc>
          <w:tcPr>
            <w:tcW w:w="9242" w:type="dxa"/>
          </w:tcPr>
          <w:p w:rsidR="000E0AA2" w:rsidRDefault="000E0AA2" w:rsidP="00440458">
            <w:pPr>
              <w:rPr>
                <w:b/>
              </w:rPr>
            </w:pPr>
          </w:p>
          <w:p w:rsidR="000160E8" w:rsidRPr="00D14C12" w:rsidRDefault="000160E8" w:rsidP="000160E8">
            <w:pPr>
              <w:rPr>
                <w:rFonts w:eastAsia="Times New Roman" w:cs="Arial"/>
                <w:b/>
                <w:lang w:eastAsia="en-GB"/>
              </w:rPr>
            </w:pPr>
            <w:r w:rsidRPr="00D14C12">
              <w:rPr>
                <w:rFonts w:eastAsia="Times New Roman" w:cs="Arial"/>
                <w:b/>
                <w:bCs/>
                <w:lang w:eastAsia="en-GB"/>
              </w:rPr>
              <w:t>Providing healthcare and related services</w:t>
            </w:r>
          </w:p>
          <w:p w:rsidR="000160E8" w:rsidRDefault="000160E8" w:rsidP="000160E8">
            <w:pPr>
              <w:rPr>
                <w:rFonts w:eastAsia="Times New Roman" w:cs="Arial"/>
                <w:lang w:eastAsia="en-GB"/>
              </w:rPr>
            </w:pPr>
          </w:p>
          <w:p w:rsidR="000160E8" w:rsidRPr="00171FF5" w:rsidRDefault="000160E8" w:rsidP="000160E8">
            <w:pPr>
              <w:rPr>
                <w:rFonts w:eastAsia="Times New Roman" w:cs="Arial"/>
                <w:lang w:eastAsia="en-GB"/>
              </w:rPr>
            </w:pPr>
            <w:r w:rsidRPr="00171FF5">
              <w:rPr>
                <w:rFonts w:eastAsia="Times New Roman" w:cs="Arial"/>
                <w:lang w:eastAsia="en-GB"/>
              </w:rPr>
              <w:t>Legal grounds:</w:t>
            </w:r>
          </w:p>
          <w:p w:rsidR="000160E8" w:rsidRPr="00171FF5" w:rsidRDefault="000160E8" w:rsidP="000160E8">
            <w:pPr>
              <w:numPr>
                <w:ilvl w:val="0"/>
                <w:numId w:val="17"/>
              </w:numPr>
              <w:ind w:left="480"/>
              <w:rPr>
                <w:rFonts w:eastAsia="Times New Roman" w:cs="Arial"/>
                <w:lang w:eastAsia="en-GB"/>
              </w:rPr>
            </w:pPr>
            <w:r w:rsidRPr="00171FF5">
              <w:rPr>
                <w:rFonts w:eastAsia="Times New Roman" w:cs="Arial"/>
                <w:lang w:eastAsia="en-GB"/>
              </w:rPr>
              <w:t>the use is necessary for compliance with a legal obligation to which the Trust is subject</w:t>
            </w:r>
          </w:p>
          <w:p w:rsidR="000160E8" w:rsidRPr="00171FF5" w:rsidRDefault="000160E8" w:rsidP="000160E8">
            <w:pPr>
              <w:numPr>
                <w:ilvl w:val="0"/>
                <w:numId w:val="17"/>
              </w:numPr>
              <w:ind w:left="480"/>
              <w:rPr>
                <w:rFonts w:eastAsia="Times New Roman" w:cs="Arial"/>
                <w:lang w:eastAsia="en-GB"/>
              </w:rPr>
            </w:pPr>
            <w:r w:rsidRPr="00171FF5">
              <w:rPr>
                <w:rFonts w:eastAsia="Times New Roman" w:cs="Arial"/>
                <w:lang w:eastAsia="en-GB"/>
              </w:rPr>
              <w:t>the use is necessary for the performance of a task carried out in the public interest or in the exercise of official authority vested in the controller e.g. in order to provide you or another with healthcare services</w:t>
            </w:r>
          </w:p>
          <w:p w:rsidR="000160E8" w:rsidRPr="00171FF5" w:rsidRDefault="000160E8" w:rsidP="000160E8">
            <w:pPr>
              <w:ind w:left="120"/>
              <w:rPr>
                <w:rFonts w:eastAsia="Times New Roman" w:cs="Arial"/>
                <w:lang w:eastAsia="en-GB"/>
              </w:rPr>
            </w:pPr>
          </w:p>
          <w:p w:rsidR="000160E8" w:rsidRPr="00171FF5" w:rsidRDefault="000160E8" w:rsidP="000160E8">
            <w:pPr>
              <w:rPr>
                <w:rFonts w:eastAsia="Times New Roman" w:cs="Arial"/>
                <w:lang w:eastAsia="en-GB"/>
              </w:rPr>
            </w:pPr>
            <w:r w:rsidRPr="00171FF5">
              <w:rPr>
                <w:rFonts w:eastAsia="Times New Roman" w:cs="Arial"/>
                <w:lang w:eastAsia="en-GB"/>
              </w:rPr>
              <w:t>Additional legal grounds for sensitive personal information/special categories of personal data:</w:t>
            </w:r>
          </w:p>
          <w:p w:rsidR="000160E8" w:rsidRPr="00171FF5" w:rsidRDefault="000160E8" w:rsidP="000160E8">
            <w:pPr>
              <w:numPr>
                <w:ilvl w:val="0"/>
                <w:numId w:val="18"/>
              </w:numPr>
              <w:ind w:left="480"/>
              <w:rPr>
                <w:rFonts w:eastAsia="Times New Roman" w:cs="Arial"/>
                <w:lang w:eastAsia="en-GB"/>
              </w:rPr>
            </w:pPr>
            <w:r w:rsidRPr="00171FF5">
              <w:rPr>
                <w:rFonts w:eastAsia="Times New Roman" w:cs="Arial"/>
                <w:lang w:eastAsia="en-GB"/>
              </w:rPr>
              <w:t xml:space="preserve">the use is necessary for the purposes of preventive or occupational medicine, </w:t>
            </w:r>
            <w:r w:rsidRPr="00171FF5">
              <w:rPr>
                <w:rFonts w:eastAsia="Times New Roman" w:cs="Arial"/>
                <w:lang w:eastAsia="en-GB"/>
              </w:rPr>
              <w:lastRenderedPageBreak/>
              <w:t>medical diagnosis, the provision of health or social care or treatment or the management of health or social care systems and services</w:t>
            </w:r>
          </w:p>
          <w:p w:rsidR="000160E8" w:rsidRPr="00171FF5" w:rsidRDefault="000160E8" w:rsidP="000160E8">
            <w:pPr>
              <w:numPr>
                <w:ilvl w:val="0"/>
                <w:numId w:val="18"/>
              </w:numPr>
              <w:ind w:left="480"/>
              <w:rPr>
                <w:rFonts w:eastAsia="Times New Roman" w:cs="Arial"/>
                <w:lang w:eastAsia="en-GB"/>
              </w:rPr>
            </w:pPr>
            <w:r w:rsidRPr="00171FF5">
              <w:rPr>
                <w:rFonts w:eastAsia="Times New Roman" w:cs="Arial"/>
                <w:lang w:eastAsia="en-GB"/>
              </w:rPr>
              <w:t>processing is necessary for reasons of public interest in the area of public health, such as ensuring high standards of quality and safety of health care</w:t>
            </w:r>
          </w:p>
          <w:p w:rsidR="000160E8" w:rsidRPr="00171FF5" w:rsidRDefault="000160E8" w:rsidP="000160E8">
            <w:pPr>
              <w:numPr>
                <w:ilvl w:val="0"/>
                <w:numId w:val="18"/>
              </w:numPr>
              <w:ind w:left="480"/>
              <w:rPr>
                <w:rFonts w:eastAsia="Times New Roman" w:cs="Arial"/>
                <w:lang w:eastAsia="en-GB"/>
              </w:rPr>
            </w:pPr>
            <w:r w:rsidRPr="00171FF5">
              <w:rPr>
                <w:rFonts w:eastAsia="Times New Roman" w:cs="Arial"/>
                <w:lang w:eastAsia="en-GB"/>
              </w:rPr>
              <w:t>You have given explicit consent.</w:t>
            </w:r>
          </w:p>
          <w:p w:rsidR="000160E8" w:rsidRDefault="000160E8" w:rsidP="000160E8">
            <w:pPr>
              <w:rPr>
                <w:rFonts w:eastAsia="Times New Roman" w:cs="Arial"/>
                <w:b/>
                <w:bCs/>
                <w:lang w:eastAsia="en-GB"/>
              </w:rPr>
            </w:pPr>
          </w:p>
          <w:p w:rsidR="000160E8" w:rsidRPr="00D14C12" w:rsidRDefault="000160E8" w:rsidP="000160E8">
            <w:pPr>
              <w:rPr>
                <w:rFonts w:eastAsia="Times New Roman" w:cs="Arial"/>
                <w:b/>
                <w:bCs/>
                <w:lang w:eastAsia="en-GB"/>
              </w:rPr>
            </w:pPr>
            <w:r w:rsidRPr="00D14C12">
              <w:rPr>
                <w:rFonts w:eastAsia="Times New Roman" w:cs="Arial"/>
                <w:b/>
                <w:bCs/>
                <w:lang w:eastAsia="en-GB"/>
              </w:rPr>
              <w:t>Administration and management of healthcare services (such as maintaining records, receiving professional advice)</w:t>
            </w:r>
          </w:p>
          <w:p w:rsidR="000160E8" w:rsidRPr="00171FF5" w:rsidRDefault="000160E8" w:rsidP="000160E8">
            <w:pPr>
              <w:rPr>
                <w:rFonts w:eastAsia="Times New Roman" w:cs="Arial"/>
                <w:i/>
                <w:lang w:eastAsia="en-GB"/>
              </w:rPr>
            </w:pPr>
          </w:p>
          <w:p w:rsidR="000160E8" w:rsidRPr="00171FF5" w:rsidRDefault="000160E8" w:rsidP="000160E8">
            <w:pPr>
              <w:rPr>
                <w:rFonts w:eastAsia="Times New Roman" w:cs="Arial"/>
                <w:lang w:eastAsia="en-GB"/>
              </w:rPr>
            </w:pPr>
            <w:r w:rsidRPr="00171FF5">
              <w:rPr>
                <w:rFonts w:eastAsia="Times New Roman" w:cs="Arial"/>
                <w:lang w:eastAsia="en-GB"/>
              </w:rPr>
              <w:t>Legal grounds:</w:t>
            </w:r>
          </w:p>
          <w:p w:rsidR="000160E8" w:rsidRPr="00171FF5" w:rsidRDefault="000160E8" w:rsidP="000160E8">
            <w:pPr>
              <w:numPr>
                <w:ilvl w:val="0"/>
                <w:numId w:val="19"/>
              </w:numPr>
              <w:ind w:left="480"/>
              <w:rPr>
                <w:rFonts w:eastAsia="Times New Roman" w:cs="Arial"/>
                <w:lang w:eastAsia="en-GB"/>
              </w:rPr>
            </w:pPr>
            <w:r w:rsidRPr="00171FF5">
              <w:rPr>
                <w:rFonts w:eastAsia="Times New Roman" w:cs="Arial"/>
                <w:lang w:eastAsia="en-GB"/>
              </w:rPr>
              <w:t>the use is necessary for the performance of a task carried out in the public interest or in the exercise of official authority vested in the controller e.g. in order to provide you or another with healthcare services</w:t>
            </w:r>
          </w:p>
          <w:p w:rsidR="000160E8" w:rsidRPr="00171FF5" w:rsidRDefault="000160E8" w:rsidP="000160E8">
            <w:pPr>
              <w:ind w:left="120"/>
              <w:rPr>
                <w:rFonts w:eastAsia="Times New Roman" w:cs="Arial"/>
                <w:lang w:eastAsia="en-GB"/>
              </w:rPr>
            </w:pPr>
          </w:p>
          <w:p w:rsidR="000160E8" w:rsidRPr="00171FF5" w:rsidRDefault="000160E8" w:rsidP="000160E8">
            <w:pPr>
              <w:rPr>
                <w:rFonts w:eastAsia="Times New Roman" w:cs="Arial"/>
                <w:lang w:eastAsia="en-GB"/>
              </w:rPr>
            </w:pPr>
            <w:r w:rsidRPr="00171FF5">
              <w:rPr>
                <w:rFonts w:eastAsia="Times New Roman" w:cs="Arial"/>
                <w:lang w:eastAsia="en-GB"/>
              </w:rPr>
              <w:t>Additional legal grounds for sensitive personal information/special categories of personal data:</w:t>
            </w:r>
          </w:p>
          <w:p w:rsidR="000160E8" w:rsidRPr="00171FF5" w:rsidRDefault="000160E8" w:rsidP="000160E8">
            <w:pPr>
              <w:numPr>
                <w:ilvl w:val="0"/>
                <w:numId w:val="20"/>
              </w:numPr>
              <w:ind w:left="480"/>
              <w:rPr>
                <w:rFonts w:eastAsia="Times New Roman" w:cs="Arial"/>
                <w:lang w:eastAsia="en-GB"/>
              </w:rPr>
            </w:pPr>
            <w:r w:rsidRPr="00171FF5">
              <w:rPr>
                <w:rFonts w:eastAsia="Times New Roman" w:cs="Arial"/>
                <w:lang w:eastAsia="en-GB"/>
              </w:rPr>
              <w:t>the use is necessary for the purposes of preventive or occupational medicine, medical diagnosis, the provision of health or social care or treatment or the management of health or social care systems and services</w:t>
            </w:r>
          </w:p>
          <w:p w:rsidR="000160E8" w:rsidRPr="00171FF5" w:rsidRDefault="000160E8" w:rsidP="000160E8">
            <w:pPr>
              <w:numPr>
                <w:ilvl w:val="0"/>
                <w:numId w:val="20"/>
              </w:numPr>
              <w:ind w:left="480"/>
              <w:rPr>
                <w:rFonts w:eastAsia="Times New Roman" w:cs="Arial"/>
                <w:lang w:eastAsia="en-GB"/>
              </w:rPr>
            </w:pPr>
            <w:r w:rsidRPr="00171FF5">
              <w:rPr>
                <w:rFonts w:eastAsia="Times New Roman" w:cs="Arial"/>
                <w:lang w:eastAsia="en-GB"/>
              </w:rPr>
              <w:t>The use is necessary in order for us to establish, exercise or defend our legal rights.</w:t>
            </w:r>
          </w:p>
          <w:p w:rsidR="000160E8" w:rsidRDefault="000160E8" w:rsidP="00440458">
            <w:pPr>
              <w:rPr>
                <w:b/>
              </w:rPr>
            </w:pPr>
          </w:p>
          <w:p w:rsidR="000160E8" w:rsidRPr="00D14C12" w:rsidRDefault="000160E8" w:rsidP="000160E8">
            <w:pPr>
              <w:rPr>
                <w:rFonts w:eastAsia="Times New Roman" w:cs="Arial"/>
                <w:b/>
                <w:lang w:eastAsia="en-GB"/>
              </w:rPr>
            </w:pPr>
            <w:r w:rsidRPr="00D14C12">
              <w:rPr>
                <w:rFonts w:eastAsia="Times New Roman" w:cs="Arial"/>
                <w:b/>
                <w:bCs/>
                <w:lang w:eastAsia="en-GB"/>
              </w:rPr>
              <w:t>Service improvement, evaluation and audit (in order to improve the healthcare services that the Trust and others provide, and to protect and improve the health of the public)</w:t>
            </w:r>
          </w:p>
          <w:p w:rsidR="000160E8" w:rsidRDefault="000160E8" w:rsidP="000160E8">
            <w:pPr>
              <w:rPr>
                <w:rFonts w:eastAsia="Times New Roman" w:cs="Arial"/>
                <w:lang w:eastAsia="en-GB"/>
              </w:rPr>
            </w:pPr>
          </w:p>
          <w:p w:rsidR="000160E8" w:rsidRPr="00171FF5" w:rsidRDefault="000160E8" w:rsidP="000160E8">
            <w:pPr>
              <w:rPr>
                <w:rFonts w:eastAsia="Times New Roman" w:cs="Arial"/>
                <w:lang w:eastAsia="en-GB"/>
              </w:rPr>
            </w:pPr>
            <w:r w:rsidRPr="00171FF5">
              <w:rPr>
                <w:rFonts w:eastAsia="Times New Roman" w:cs="Arial"/>
                <w:lang w:eastAsia="en-GB"/>
              </w:rPr>
              <w:t>Legal grounds:</w:t>
            </w:r>
          </w:p>
          <w:p w:rsidR="000160E8" w:rsidRPr="00171FF5" w:rsidRDefault="000160E8" w:rsidP="000160E8">
            <w:pPr>
              <w:numPr>
                <w:ilvl w:val="0"/>
                <w:numId w:val="15"/>
              </w:numPr>
              <w:ind w:left="480"/>
              <w:rPr>
                <w:rFonts w:eastAsia="Times New Roman" w:cs="Arial"/>
                <w:lang w:eastAsia="en-GB"/>
              </w:rPr>
            </w:pPr>
            <w:r w:rsidRPr="00171FF5">
              <w:rPr>
                <w:rFonts w:eastAsia="Times New Roman" w:cs="Arial"/>
                <w:lang w:eastAsia="en-GB"/>
              </w:rPr>
              <w:t>the use is necessary for the performance of a task carried out in the public interest or in the exercise of official authority vested in the controller e.g. in order to provide you or another with healthcare services</w:t>
            </w:r>
          </w:p>
          <w:p w:rsidR="000160E8" w:rsidRDefault="000160E8" w:rsidP="000160E8">
            <w:pPr>
              <w:rPr>
                <w:rFonts w:eastAsia="Times New Roman" w:cs="Arial"/>
                <w:lang w:eastAsia="en-GB"/>
              </w:rPr>
            </w:pPr>
          </w:p>
          <w:p w:rsidR="000160E8" w:rsidRPr="00171FF5" w:rsidRDefault="000160E8" w:rsidP="000160E8">
            <w:pPr>
              <w:rPr>
                <w:rFonts w:eastAsia="Times New Roman" w:cs="Arial"/>
                <w:lang w:eastAsia="en-GB"/>
              </w:rPr>
            </w:pPr>
            <w:r w:rsidRPr="00171FF5">
              <w:rPr>
                <w:rFonts w:eastAsia="Times New Roman" w:cs="Arial"/>
                <w:lang w:eastAsia="en-GB"/>
              </w:rPr>
              <w:t>Additional legal grounds for sensitive personal information/special categories of personal data:</w:t>
            </w:r>
          </w:p>
          <w:p w:rsidR="000160E8" w:rsidRPr="00171FF5" w:rsidRDefault="002414D3" w:rsidP="000160E8">
            <w:pPr>
              <w:numPr>
                <w:ilvl w:val="0"/>
                <w:numId w:val="16"/>
              </w:numPr>
              <w:ind w:left="480"/>
              <w:rPr>
                <w:rFonts w:eastAsia="Times New Roman" w:cs="Arial"/>
                <w:lang w:eastAsia="en-GB"/>
              </w:rPr>
            </w:pPr>
            <w:r>
              <w:rPr>
                <w:rFonts w:eastAsia="Times New Roman" w:cs="Arial"/>
                <w:lang w:eastAsia="en-GB"/>
              </w:rPr>
              <w:t>w</w:t>
            </w:r>
            <w:r w:rsidR="000160E8" w:rsidRPr="00171FF5">
              <w:rPr>
                <w:rFonts w:eastAsia="Times New Roman" w:cs="Arial"/>
                <w:lang w:eastAsia="en-GB"/>
              </w:rPr>
              <w:t>e need to use the information for reasons of substantial public interest</w:t>
            </w:r>
          </w:p>
          <w:p w:rsidR="000160E8" w:rsidRPr="00171FF5" w:rsidRDefault="000160E8" w:rsidP="000160E8">
            <w:pPr>
              <w:numPr>
                <w:ilvl w:val="0"/>
                <w:numId w:val="16"/>
              </w:numPr>
              <w:ind w:left="480"/>
              <w:rPr>
                <w:rFonts w:eastAsia="Times New Roman" w:cs="Arial"/>
                <w:lang w:eastAsia="en-GB"/>
              </w:rPr>
            </w:pPr>
            <w:r w:rsidRPr="00171FF5">
              <w:rPr>
                <w:rFonts w:eastAsia="Times New Roman" w:cs="Arial"/>
                <w:lang w:eastAsia="en-GB"/>
              </w:rPr>
              <w:t>the use is necessary for the purposes of preventive or occupational medicine, medical diagnosis, the provision of health or social care or treatment or the management of health or social care systems and services</w:t>
            </w:r>
          </w:p>
          <w:p w:rsidR="000160E8" w:rsidRPr="00171FF5" w:rsidRDefault="000160E8" w:rsidP="000160E8">
            <w:pPr>
              <w:numPr>
                <w:ilvl w:val="0"/>
                <w:numId w:val="16"/>
              </w:numPr>
              <w:ind w:left="480"/>
              <w:rPr>
                <w:rFonts w:eastAsia="Times New Roman" w:cs="Arial"/>
                <w:lang w:eastAsia="en-GB"/>
              </w:rPr>
            </w:pPr>
            <w:r w:rsidRPr="00171FF5">
              <w:rPr>
                <w:rFonts w:eastAsia="Times New Roman" w:cs="Arial"/>
                <w:lang w:eastAsia="en-GB"/>
              </w:rPr>
              <w:t>the use is necessary for reasons of public interest in the area of public health, such as ensuring high standards of quality and safety of health care</w:t>
            </w:r>
          </w:p>
          <w:p w:rsidR="000160E8" w:rsidRPr="002414D3" w:rsidRDefault="000160E8" w:rsidP="002414D3">
            <w:pPr>
              <w:ind w:left="120"/>
              <w:rPr>
                <w:rFonts w:eastAsia="Times New Roman" w:cs="Arial"/>
                <w:lang w:eastAsia="en-GB"/>
              </w:rPr>
            </w:pPr>
          </w:p>
          <w:p w:rsidR="000E0AA2" w:rsidRPr="009B4EF2" w:rsidRDefault="002414D3" w:rsidP="00440458">
            <w:pPr>
              <w:rPr>
                <w:b/>
              </w:rPr>
            </w:pPr>
            <w:r w:rsidRPr="009B4EF2">
              <w:rPr>
                <w:b/>
              </w:rPr>
              <w:t>Data quality assurance?</w:t>
            </w:r>
          </w:p>
          <w:p w:rsidR="002230AB" w:rsidRDefault="002230AB" w:rsidP="00440458"/>
          <w:p w:rsidR="002230AB" w:rsidRPr="002414D3" w:rsidRDefault="002230AB" w:rsidP="00440458">
            <w:r>
              <w:t>Where possible data entry templates will be used to ensure the correct datasets are collected at each stage in the referral, triaging and consultation processes. The proposed template for collecting datasets has been embedded in an earlier section of this document.</w:t>
            </w:r>
          </w:p>
          <w:p w:rsidR="000E0AA2" w:rsidRDefault="00B36437" w:rsidP="00B36437">
            <w:pPr>
              <w:tabs>
                <w:tab w:val="left" w:pos="1452"/>
              </w:tabs>
              <w:rPr>
                <w:b/>
              </w:rPr>
            </w:pPr>
            <w:r>
              <w:rPr>
                <w:b/>
              </w:rPr>
              <w:tab/>
            </w:r>
          </w:p>
          <w:p w:rsidR="000E0AA2" w:rsidRDefault="000E0AA2" w:rsidP="00440458">
            <w:pPr>
              <w:rPr>
                <w:b/>
              </w:rPr>
            </w:pPr>
          </w:p>
        </w:tc>
      </w:tr>
    </w:tbl>
    <w:p w:rsidR="000E0AA2" w:rsidRDefault="000E0AA2"/>
    <w:tbl>
      <w:tblPr>
        <w:tblStyle w:val="TableGrid"/>
        <w:tblW w:w="0" w:type="auto"/>
        <w:tblLook w:val="04A0" w:firstRow="1" w:lastRow="0" w:firstColumn="1" w:lastColumn="0" w:noHBand="0" w:noVBand="1"/>
      </w:tblPr>
      <w:tblGrid>
        <w:gridCol w:w="5149"/>
        <w:gridCol w:w="1297"/>
        <w:gridCol w:w="1324"/>
        <w:gridCol w:w="1472"/>
      </w:tblGrid>
      <w:tr w:rsidR="001A3BFA" w:rsidRPr="00D87AF6" w:rsidTr="003C30A4">
        <w:tc>
          <w:tcPr>
            <w:tcW w:w="9242" w:type="dxa"/>
            <w:gridSpan w:val="4"/>
          </w:tcPr>
          <w:p w:rsidR="001A3BFA" w:rsidRPr="00D87AF6" w:rsidRDefault="001A3BFA" w:rsidP="000E0AA2">
            <w:pPr>
              <w:pStyle w:val="Heading2"/>
              <w:outlineLvl w:val="1"/>
            </w:pPr>
            <w:r w:rsidRPr="00D87AF6">
              <w:lastRenderedPageBreak/>
              <w:t xml:space="preserve">Step </w:t>
            </w:r>
            <w:r w:rsidR="000E0AA2">
              <w:t>5</w:t>
            </w:r>
            <w:r w:rsidRPr="00D87AF6">
              <w:t xml:space="preserve">: </w:t>
            </w:r>
            <w:r w:rsidR="000E0AA2">
              <w:t>Identify and assess risks</w:t>
            </w:r>
            <w:r w:rsidRPr="00D87AF6">
              <w:t xml:space="preserve"> </w:t>
            </w:r>
          </w:p>
        </w:tc>
      </w:tr>
      <w:tr w:rsidR="001A3BFA" w:rsidRPr="00D87AF6" w:rsidTr="003C30A4">
        <w:tc>
          <w:tcPr>
            <w:tcW w:w="9242" w:type="dxa"/>
            <w:gridSpan w:val="4"/>
          </w:tcPr>
          <w:p w:rsidR="001A3BFA" w:rsidRPr="000E0AA2" w:rsidRDefault="000E0AA2" w:rsidP="000E0AA2">
            <w:r>
              <w:rPr>
                <w:b/>
              </w:rPr>
              <w:t>Describe the source of risk and nature of potential impact on individuals.</w:t>
            </w:r>
            <w:r>
              <w:t xml:space="preserve">  Include associated compliance and corporate risks as necessary.</w:t>
            </w:r>
          </w:p>
          <w:p w:rsidR="001A3BFA" w:rsidRPr="00D87AF6" w:rsidRDefault="001A3BFA" w:rsidP="001A53CF">
            <w:pPr>
              <w:pStyle w:val="ListParagraph"/>
              <w:ind w:left="284"/>
            </w:pPr>
          </w:p>
        </w:tc>
      </w:tr>
      <w:tr w:rsidR="000E0AA2" w:rsidRPr="000E0AA2" w:rsidTr="004E492D">
        <w:tc>
          <w:tcPr>
            <w:tcW w:w="5149" w:type="dxa"/>
          </w:tcPr>
          <w:p w:rsidR="000E0AA2" w:rsidRPr="000E0AA2" w:rsidRDefault="000E0AA2" w:rsidP="000E0AA2">
            <w:r w:rsidRPr="000E0AA2">
              <w:t>Risk</w:t>
            </w:r>
          </w:p>
        </w:tc>
        <w:tc>
          <w:tcPr>
            <w:tcW w:w="1297" w:type="dxa"/>
          </w:tcPr>
          <w:p w:rsidR="000E0AA2" w:rsidRPr="000E0AA2" w:rsidRDefault="000E0AA2" w:rsidP="000E0AA2">
            <w:r>
              <w:t>Likelihood of harm</w:t>
            </w:r>
          </w:p>
        </w:tc>
        <w:tc>
          <w:tcPr>
            <w:tcW w:w="1324" w:type="dxa"/>
          </w:tcPr>
          <w:p w:rsidR="000E0AA2" w:rsidRPr="000E0AA2" w:rsidRDefault="000E0AA2" w:rsidP="000E0AA2">
            <w:r>
              <w:t>Severity of harm</w:t>
            </w:r>
          </w:p>
        </w:tc>
        <w:tc>
          <w:tcPr>
            <w:tcW w:w="1472" w:type="dxa"/>
          </w:tcPr>
          <w:p w:rsidR="000E0AA2" w:rsidRPr="000E0AA2" w:rsidRDefault="000E0AA2" w:rsidP="000E0AA2">
            <w:r>
              <w:t>Overall risk</w:t>
            </w:r>
          </w:p>
        </w:tc>
      </w:tr>
      <w:tr w:rsidR="000E0AA2" w:rsidRPr="000E0AA2" w:rsidTr="000E0AA2">
        <w:tc>
          <w:tcPr>
            <w:tcW w:w="5211" w:type="dxa"/>
          </w:tcPr>
          <w:p w:rsidR="000E0AA2" w:rsidRPr="000E0AA2" w:rsidRDefault="000E0AA2" w:rsidP="000E0AA2"/>
        </w:tc>
        <w:tc>
          <w:tcPr>
            <w:tcW w:w="1276" w:type="dxa"/>
          </w:tcPr>
          <w:p w:rsidR="000E0AA2" w:rsidRDefault="000E0AA2" w:rsidP="000E0AA2">
            <w:r>
              <w:t>Remote, possible or probable</w:t>
            </w:r>
          </w:p>
        </w:tc>
        <w:tc>
          <w:tcPr>
            <w:tcW w:w="1276" w:type="dxa"/>
          </w:tcPr>
          <w:p w:rsidR="000E0AA2" w:rsidRDefault="000E0AA2" w:rsidP="000E0AA2">
            <w:r>
              <w:t>Minimal, significant or severe</w:t>
            </w:r>
          </w:p>
        </w:tc>
        <w:tc>
          <w:tcPr>
            <w:tcW w:w="1479" w:type="dxa"/>
          </w:tcPr>
          <w:p w:rsidR="000E0AA2" w:rsidRDefault="000E0AA2" w:rsidP="000E0AA2">
            <w:r>
              <w:t>Low, medium or high</w:t>
            </w:r>
          </w:p>
        </w:tc>
      </w:tr>
      <w:tr w:rsidR="000E0AA2" w:rsidRPr="000E0AA2" w:rsidTr="000E0AA2">
        <w:tc>
          <w:tcPr>
            <w:tcW w:w="5211" w:type="dxa"/>
          </w:tcPr>
          <w:p w:rsidR="000E0AA2" w:rsidRPr="000E0AA2" w:rsidRDefault="002414D3" w:rsidP="000E0AA2">
            <w:r>
              <w:t>Inappropriate access</w:t>
            </w:r>
          </w:p>
        </w:tc>
        <w:tc>
          <w:tcPr>
            <w:tcW w:w="1276" w:type="dxa"/>
          </w:tcPr>
          <w:p w:rsidR="000E0AA2" w:rsidRDefault="004E492D" w:rsidP="000E0AA2">
            <w:r>
              <w:t>Remote</w:t>
            </w:r>
          </w:p>
        </w:tc>
        <w:tc>
          <w:tcPr>
            <w:tcW w:w="1276" w:type="dxa"/>
          </w:tcPr>
          <w:p w:rsidR="000E0AA2" w:rsidRDefault="004E492D" w:rsidP="000E0AA2">
            <w:r>
              <w:t xml:space="preserve">Significant </w:t>
            </w:r>
          </w:p>
        </w:tc>
        <w:tc>
          <w:tcPr>
            <w:tcW w:w="1479" w:type="dxa"/>
          </w:tcPr>
          <w:p w:rsidR="000E0AA2" w:rsidRDefault="004E492D" w:rsidP="000E0AA2">
            <w:r>
              <w:t>Low</w:t>
            </w:r>
          </w:p>
        </w:tc>
      </w:tr>
      <w:tr w:rsidR="004E492D" w:rsidRPr="000E0AA2" w:rsidTr="000E0AA2">
        <w:tc>
          <w:tcPr>
            <w:tcW w:w="5211" w:type="dxa"/>
          </w:tcPr>
          <w:p w:rsidR="004E492D" w:rsidRPr="000E0AA2" w:rsidRDefault="004E492D" w:rsidP="000E0AA2">
            <w:r>
              <w:t>Disclosure in error</w:t>
            </w:r>
          </w:p>
        </w:tc>
        <w:tc>
          <w:tcPr>
            <w:tcW w:w="1276" w:type="dxa"/>
          </w:tcPr>
          <w:p w:rsidR="004E492D" w:rsidRDefault="004E492D" w:rsidP="000E0AA2">
            <w:r>
              <w:t>Remote</w:t>
            </w:r>
          </w:p>
        </w:tc>
        <w:tc>
          <w:tcPr>
            <w:tcW w:w="1276" w:type="dxa"/>
          </w:tcPr>
          <w:p w:rsidR="004E492D" w:rsidRDefault="004E492D" w:rsidP="000E0AA2">
            <w:r>
              <w:t xml:space="preserve">Significant </w:t>
            </w:r>
          </w:p>
        </w:tc>
        <w:tc>
          <w:tcPr>
            <w:tcW w:w="1479" w:type="dxa"/>
          </w:tcPr>
          <w:p w:rsidR="004E492D" w:rsidRDefault="004E492D" w:rsidP="000E0AA2">
            <w:r>
              <w:t>Low</w:t>
            </w:r>
          </w:p>
        </w:tc>
      </w:tr>
      <w:tr w:rsidR="004E492D" w:rsidRPr="000E0AA2" w:rsidTr="004E492D">
        <w:tc>
          <w:tcPr>
            <w:tcW w:w="5149" w:type="dxa"/>
          </w:tcPr>
          <w:p w:rsidR="004E492D" w:rsidRPr="000E0AA2" w:rsidRDefault="004E492D" w:rsidP="000E0AA2">
            <w:r>
              <w:t>Cyber threats</w:t>
            </w:r>
          </w:p>
        </w:tc>
        <w:tc>
          <w:tcPr>
            <w:tcW w:w="1297" w:type="dxa"/>
          </w:tcPr>
          <w:p w:rsidR="004E492D" w:rsidRDefault="004E492D" w:rsidP="000E0AA2">
            <w:r>
              <w:t>Remote</w:t>
            </w:r>
          </w:p>
        </w:tc>
        <w:tc>
          <w:tcPr>
            <w:tcW w:w="1324" w:type="dxa"/>
          </w:tcPr>
          <w:p w:rsidR="004E492D" w:rsidRDefault="004E492D" w:rsidP="000E0AA2">
            <w:r>
              <w:t xml:space="preserve">Significant </w:t>
            </w:r>
          </w:p>
        </w:tc>
        <w:tc>
          <w:tcPr>
            <w:tcW w:w="1472" w:type="dxa"/>
          </w:tcPr>
          <w:p w:rsidR="004E492D" w:rsidRDefault="004E492D" w:rsidP="000E0AA2">
            <w:r>
              <w:t>Low</w:t>
            </w:r>
          </w:p>
        </w:tc>
      </w:tr>
      <w:tr w:rsidR="004E492D" w:rsidRPr="000E0AA2" w:rsidTr="004E492D">
        <w:tc>
          <w:tcPr>
            <w:tcW w:w="5149" w:type="dxa"/>
          </w:tcPr>
          <w:p w:rsidR="004E492D" w:rsidRPr="000E0AA2" w:rsidRDefault="004E492D" w:rsidP="000E0AA2">
            <w:r>
              <w:t>Corruption of data</w:t>
            </w:r>
          </w:p>
        </w:tc>
        <w:tc>
          <w:tcPr>
            <w:tcW w:w="1297" w:type="dxa"/>
          </w:tcPr>
          <w:p w:rsidR="004E492D" w:rsidRDefault="004E492D" w:rsidP="000E0AA2">
            <w:r>
              <w:t>Remote</w:t>
            </w:r>
          </w:p>
        </w:tc>
        <w:tc>
          <w:tcPr>
            <w:tcW w:w="1324" w:type="dxa"/>
          </w:tcPr>
          <w:p w:rsidR="004E492D" w:rsidRDefault="004E492D" w:rsidP="000E0AA2">
            <w:r>
              <w:t xml:space="preserve">Significant </w:t>
            </w:r>
          </w:p>
        </w:tc>
        <w:tc>
          <w:tcPr>
            <w:tcW w:w="1472" w:type="dxa"/>
          </w:tcPr>
          <w:p w:rsidR="004E492D" w:rsidRDefault="004E492D" w:rsidP="000E0AA2">
            <w:r>
              <w:t>Low</w:t>
            </w:r>
          </w:p>
        </w:tc>
      </w:tr>
      <w:tr w:rsidR="004E492D" w:rsidRPr="000E0AA2" w:rsidTr="004E492D">
        <w:tc>
          <w:tcPr>
            <w:tcW w:w="5149" w:type="dxa"/>
          </w:tcPr>
          <w:p w:rsidR="004E492D" w:rsidRPr="000E0AA2" w:rsidRDefault="004E492D" w:rsidP="000E0AA2"/>
        </w:tc>
        <w:tc>
          <w:tcPr>
            <w:tcW w:w="1297" w:type="dxa"/>
          </w:tcPr>
          <w:p w:rsidR="004E492D" w:rsidRDefault="004E492D" w:rsidP="000E0AA2"/>
        </w:tc>
        <w:tc>
          <w:tcPr>
            <w:tcW w:w="1324" w:type="dxa"/>
          </w:tcPr>
          <w:p w:rsidR="004E492D" w:rsidRDefault="004E492D" w:rsidP="000E0AA2"/>
        </w:tc>
        <w:tc>
          <w:tcPr>
            <w:tcW w:w="1472" w:type="dxa"/>
          </w:tcPr>
          <w:p w:rsidR="004E492D" w:rsidRDefault="004E492D" w:rsidP="000E0AA2"/>
        </w:tc>
      </w:tr>
      <w:tr w:rsidR="004E492D" w:rsidRPr="000E0AA2" w:rsidTr="004E492D">
        <w:tc>
          <w:tcPr>
            <w:tcW w:w="5149" w:type="dxa"/>
          </w:tcPr>
          <w:p w:rsidR="004E492D" w:rsidRPr="000E0AA2" w:rsidRDefault="004E492D" w:rsidP="000E0AA2"/>
        </w:tc>
        <w:tc>
          <w:tcPr>
            <w:tcW w:w="1297" w:type="dxa"/>
          </w:tcPr>
          <w:p w:rsidR="004E492D" w:rsidRDefault="004E492D" w:rsidP="000E0AA2"/>
        </w:tc>
        <w:tc>
          <w:tcPr>
            <w:tcW w:w="1324" w:type="dxa"/>
          </w:tcPr>
          <w:p w:rsidR="004E492D" w:rsidRDefault="004E492D" w:rsidP="000E0AA2"/>
        </w:tc>
        <w:tc>
          <w:tcPr>
            <w:tcW w:w="1472" w:type="dxa"/>
          </w:tcPr>
          <w:p w:rsidR="004E492D" w:rsidRDefault="004E492D" w:rsidP="000E0AA2"/>
        </w:tc>
      </w:tr>
      <w:tr w:rsidR="004E492D" w:rsidRPr="000E0AA2" w:rsidTr="004E492D">
        <w:tc>
          <w:tcPr>
            <w:tcW w:w="5149" w:type="dxa"/>
          </w:tcPr>
          <w:p w:rsidR="004E492D" w:rsidRPr="000E0AA2" w:rsidRDefault="004E492D" w:rsidP="000E0AA2"/>
        </w:tc>
        <w:tc>
          <w:tcPr>
            <w:tcW w:w="1297" w:type="dxa"/>
          </w:tcPr>
          <w:p w:rsidR="004E492D" w:rsidRDefault="004E492D" w:rsidP="000E0AA2"/>
        </w:tc>
        <w:tc>
          <w:tcPr>
            <w:tcW w:w="1324" w:type="dxa"/>
          </w:tcPr>
          <w:p w:rsidR="004E492D" w:rsidRDefault="004E492D" w:rsidP="000E0AA2"/>
        </w:tc>
        <w:tc>
          <w:tcPr>
            <w:tcW w:w="1472" w:type="dxa"/>
          </w:tcPr>
          <w:p w:rsidR="004E492D" w:rsidRDefault="004E492D" w:rsidP="000E0AA2"/>
        </w:tc>
      </w:tr>
      <w:tr w:rsidR="004E492D" w:rsidRPr="000E0AA2" w:rsidTr="004E492D">
        <w:tc>
          <w:tcPr>
            <w:tcW w:w="5149" w:type="dxa"/>
          </w:tcPr>
          <w:p w:rsidR="004E492D" w:rsidRPr="000E0AA2" w:rsidRDefault="004E492D" w:rsidP="000E0AA2"/>
        </w:tc>
        <w:tc>
          <w:tcPr>
            <w:tcW w:w="1297" w:type="dxa"/>
          </w:tcPr>
          <w:p w:rsidR="004E492D" w:rsidRDefault="004E492D" w:rsidP="000E0AA2"/>
        </w:tc>
        <w:tc>
          <w:tcPr>
            <w:tcW w:w="1324" w:type="dxa"/>
          </w:tcPr>
          <w:p w:rsidR="004E492D" w:rsidRDefault="004E492D" w:rsidP="000E0AA2"/>
        </w:tc>
        <w:tc>
          <w:tcPr>
            <w:tcW w:w="1472" w:type="dxa"/>
          </w:tcPr>
          <w:p w:rsidR="004E492D" w:rsidRDefault="004E492D" w:rsidP="000E0AA2"/>
        </w:tc>
      </w:tr>
      <w:tr w:rsidR="004E492D" w:rsidRPr="000E0AA2" w:rsidTr="004E492D">
        <w:tc>
          <w:tcPr>
            <w:tcW w:w="5149" w:type="dxa"/>
          </w:tcPr>
          <w:p w:rsidR="004E492D" w:rsidRPr="000E0AA2" w:rsidRDefault="004E492D" w:rsidP="000E0AA2"/>
        </w:tc>
        <w:tc>
          <w:tcPr>
            <w:tcW w:w="1297" w:type="dxa"/>
          </w:tcPr>
          <w:p w:rsidR="004E492D" w:rsidRDefault="004E492D" w:rsidP="000E0AA2"/>
        </w:tc>
        <w:tc>
          <w:tcPr>
            <w:tcW w:w="1324" w:type="dxa"/>
          </w:tcPr>
          <w:p w:rsidR="004E492D" w:rsidRDefault="004E492D" w:rsidP="000E0AA2"/>
        </w:tc>
        <w:tc>
          <w:tcPr>
            <w:tcW w:w="1472" w:type="dxa"/>
          </w:tcPr>
          <w:p w:rsidR="004E492D" w:rsidRDefault="004E492D" w:rsidP="000E0AA2"/>
        </w:tc>
      </w:tr>
      <w:tr w:rsidR="004E492D" w:rsidRPr="000E0AA2" w:rsidTr="004E492D">
        <w:tc>
          <w:tcPr>
            <w:tcW w:w="5149" w:type="dxa"/>
          </w:tcPr>
          <w:p w:rsidR="004E492D" w:rsidRPr="000E0AA2" w:rsidRDefault="004E492D" w:rsidP="000E0AA2">
            <w:pPr>
              <w:rPr>
                <w:b/>
                <w:color w:val="FF0000"/>
              </w:rPr>
            </w:pPr>
            <w:r>
              <w:rPr>
                <w:b/>
                <w:color w:val="FF0000"/>
              </w:rPr>
              <w:t>Add additional rows as required.</w:t>
            </w:r>
          </w:p>
        </w:tc>
        <w:tc>
          <w:tcPr>
            <w:tcW w:w="1297" w:type="dxa"/>
          </w:tcPr>
          <w:p w:rsidR="004E492D" w:rsidRDefault="004E492D" w:rsidP="000E0AA2"/>
        </w:tc>
        <w:tc>
          <w:tcPr>
            <w:tcW w:w="1324" w:type="dxa"/>
          </w:tcPr>
          <w:p w:rsidR="004E492D" w:rsidRDefault="004E492D" w:rsidP="000E0AA2"/>
        </w:tc>
        <w:tc>
          <w:tcPr>
            <w:tcW w:w="1472" w:type="dxa"/>
          </w:tcPr>
          <w:p w:rsidR="004E492D" w:rsidRDefault="004E492D" w:rsidP="000E0AA2"/>
        </w:tc>
      </w:tr>
    </w:tbl>
    <w:p w:rsidR="00544E30" w:rsidRDefault="00544E30" w:rsidP="00BC53F4">
      <w:pPr>
        <w:spacing w:line="240" w:lineRule="auto"/>
      </w:pPr>
    </w:p>
    <w:tbl>
      <w:tblPr>
        <w:tblStyle w:val="TableGrid"/>
        <w:tblW w:w="0" w:type="auto"/>
        <w:tblLook w:val="04A0" w:firstRow="1" w:lastRow="0" w:firstColumn="1" w:lastColumn="0" w:noHBand="0" w:noVBand="1"/>
      </w:tblPr>
      <w:tblGrid>
        <w:gridCol w:w="1827"/>
        <w:gridCol w:w="3272"/>
        <w:gridCol w:w="1404"/>
        <w:gridCol w:w="1271"/>
        <w:gridCol w:w="1468"/>
      </w:tblGrid>
      <w:tr w:rsidR="001A3BFA" w:rsidRPr="00203989" w:rsidTr="00107FCC">
        <w:tc>
          <w:tcPr>
            <w:tcW w:w="9242" w:type="dxa"/>
            <w:gridSpan w:val="5"/>
          </w:tcPr>
          <w:p w:rsidR="001A3BFA" w:rsidRPr="00203989" w:rsidRDefault="001A3BFA" w:rsidP="000E0AA2">
            <w:pPr>
              <w:pStyle w:val="Heading2"/>
              <w:outlineLvl w:val="1"/>
            </w:pPr>
            <w:r w:rsidRPr="00203989">
              <w:t xml:space="preserve">Step </w:t>
            </w:r>
            <w:r w:rsidR="000E0AA2">
              <w:t>6</w:t>
            </w:r>
            <w:r w:rsidRPr="00203989">
              <w:t xml:space="preserve">: Identify </w:t>
            </w:r>
            <w:r w:rsidR="000E0AA2">
              <w:t>measures to reduce risk</w:t>
            </w:r>
            <w:r w:rsidRPr="00203989">
              <w:t xml:space="preserve"> </w:t>
            </w:r>
          </w:p>
        </w:tc>
      </w:tr>
      <w:tr w:rsidR="001A3BFA" w:rsidRPr="00203989" w:rsidTr="00107FCC">
        <w:tc>
          <w:tcPr>
            <w:tcW w:w="9242" w:type="dxa"/>
            <w:gridSpan w:val="5"/>
          </w:tcPr>
          <w:p w:rsidR="001A3BFA" w:rsidRPr="000E0AA2" w:rsidRDefault="000E0AA2" w:rsidP="000E0AA2">
            <w:pPr>
              <w:rPr>
                <w:b/>
              </w:rPr>
            </w:pPr>
            <w:r>
              <w:rPr>
                <w:b/>
              </w:rPr>
              <w:t>Identify additional measures you could take to reduce or eliminate risks identified as medium or high risk in step 5.</w:t>
            </w:r>
          </w:p>
        </w:tc>
      </w:tr>
      <w:tr w:rsidR="000E0AA2" w:rsidRPr="000E0AA2" w:rsidTr="000E0AA2">
        <w:tc>
          <w:tcPr>
            <w:tcW w:w="1827" w:type="dxa"/>
          </w:tcPr>
          <w:p w:rsidR="000E0AA2" w:rsidRPr="000E0AA2" w:rsidRDefault="000E0AA2" w:rsidP="000E0AA2">
            <w:r>
              <w:t>Risk</w:t>
            </w:r>
          </w:p>
        </w:tc>
        <w:tc>
          <w:tcPr>
            <w:tcW w:w="3272" w:type="dxa"/>
          </w:tcPr>
          <w:p w:rsidR="000E0AA2" w:rsidRPr="000E0AA2" w:rsidRDefault="000E0AA2" w:rsidP="000E0AA2">
            <w:r>
              <w:t>Options to reduce or eliminate risk</w:t>
            </w:r>
          </w:p>
        </w:tc>
        <w:tc>
          <w:tcPr>
            <w:tcW w:w="1404" w:type="dxa"/>
          </w:tcPr>
          <w:p w:rsidR="000E0AA2" w:rsidRPr="000E0AA2" w:rsidRDefault="000E0AA2" w:rsidP="000E0AA2">
            <w:r>
              <w:t>Effect on risk</w:t>
            </w:r>
          </w:p>
        </w:tc>
        <w:tc>
          <w:tcPr>
            <w:tcW w:w="1271" w:type="dxa"/>
          </w:tcPr>
          <w:p w:rsidR="000E0AA2" w:rsidRPr="000E0AA2" w:rsidRDefault="000E0AA2" w:rsidP="000E0AA2">
            <w:r>
              <w:t>Residual risk</w:t>
            </w:r>
          </w:p>
        </w:tc>
        <w:tc>
          <w:tcPr>
            <w:tcW w:w="1468" w:type="dxa"/>
          </w:tcPr>
          <w:p w:rsidR="000E0AA2" w:rsidRPr="000E0AA2" w:rsidRDefault="000E0AA2" w:rsidP="000E0AA2">
            <w:r>
              <w:t>Measure approved</w:t>
            </w:r>
          </w:p>
        </w:tc>
      </w:tr>
      <w:tr w:rsidR="000E0AA2" w:rsidRPr="000E0AA2" w:rsidTr="000E0AA2">
        <w:tc>
          <w:tcPr>
            <w:tcW w:w="1827" w:type="dxa"/>
          </w:tcPr>
          <w:p w:rsidR="000E0AA2" w:rsidRDefault="000E0AA2" w:rsidP="000E0AA2"/>
        </w:tc>
        <w:tc>
          <w:tcPr>
            <w:tcW w:w="3272" w:type="dxa"/>
          </w:tcPr>
          <w:p w:rsidR="000E0AA2" w:rsidRDefault="000E0AA2" w:rsidP="000E0AA2"/>
        </w:tc>
        <w:tc>
          <w:tcPr>
            <w:tcW w:w="1404" w:type="dxa"/>
          </w:tcPr>
          <w:p w:rsidR="000E0AA2" w:rsidRDefault="000E0AA2" w:rsidP="000E0AA2">
            <w:r>
              <w:t>Eliminated, reduced or accepted</w:t>
            </w:r>
          </w:p>
        </w:tc>
        <w:tc>
          <w:tcPr>
            <w:tcW w:w="1271" w:type="dxa"/>
          </w:tcPr>
          <w:p w:rsidR="000E0AA2" w:rsidRDefault="000E0AA2" w:rsidP="000E0AA2">
            <w:r>
              <w:t>Low, medium or high</w:t>
            </w:r>
          </w:p>
        </w:tc>
        <w:tc>
          <w:tcPr>
            <w:tcW w:w="1468" w:type="dxa"/>
          </w:tcPr>
          <w:p w:rsidR="000E0AA2" w:rsidRDefault="000E0AA2" w:rsidP="000E0AA2">
            <w:r>
              <w:t>Yes/no</w:t>
            </w:r>
          </w:p>
        </w:tc>
      </w:tr>
      <w:tr w:rsidR="000E0AA2" w:rsidRPr="000E0AA2" w:rsidTr="000E0AA2">
        <w:tc>
          <w:tcPr>
            <w:tcW w:w="1827" w:type="dxa"/>
          </w:tcPr>
          <w:p w:rsidR="000E0AA2" w:rsidRDefault="000E0AA2" w:rsidP="000E0AA2"/>
        </w:tc>
        <w:tc>
          <w:tcPr>
            <w:tcW w:w="3272" w:type="dxa"/>
          </w:tcPr>
          <w:p w:rsidR="000E0AA2" w:rsidRDefault="002414D3" w:rsidP="000E0AA2">
            <w:r>
              <w:t>Access controls</w:t>
            </w:r>
          </w:p>
        </w:tc>
        <w:tc>
          <w:tcPr>
            <w:tcW w:w="1404" w:type="dxa"/>
          </w:tcPr>
          <w:p w:rsidR="000E0AA2" w:rsidRDefault="004E492D" w:rsidP="000E0AA2">
            <w:r>
              <w:t>Reduced</w:t>
            </w:r>
          </w:p>
        </w:tc>
        <w:tc>
          <w:tcPr>
            <w:tcW w:w="1271" w:type="dxa"/>
          </w:tcPr>
          <w:p w:rsidR="000E0AA2" w:rsidRDefault="004E492D" w:rsidP="000E0AA2">
            <w:r>
              <w:t>Low</w:t>
            </w:r>
          </w:p>
        </w:tc>
        <w:tc>
          <w:tcPr>
            <w:tcW w:w="1468" w:type="dxa"/>
          </w:tcPr>
          <w:p w:rsidR="000E0AA2" w:rsidRDefault="000E0AA2" w:rsidP="000E0AA2"/>
        </w:tc>
      </w:tr>
      <w:tr w:rsidR="004E492D" w:rsidRPr="000E0AA2" w:rsidTr="000E0AA2">
        <w:tc>
          <w:tcPr>
            <w:tcW w:w="1827" w:type="dxa"/>
          </w:tcPr>
          <w:p w:rsidR="004E492D" w:rsidRDefault="004E492D" w:rsidP="000E0AA2"/>
        </w:tc>
        <w:tc>
          <w:tcPr>
            <w:tcW w:w="3272" w:type="dxa"/>
          </w:tcPr>
          <w:p w:rsidR="004E492D" w:rsidRDefault="004E492D" w:rsidP="000E0AA2">
            <w:r>
              <w:t>Training</w:t>
            </w:r>
          </w:p>
        </w:tc>
        <w:tc>
          <w:tcPr>
            <w:tcW w:w="1404" w:type="dxa"/>
          </w:tcPr>
          <w:p w:rsidR="004E492D" w:rsidRDefault="004E492D" w:rsidP="000E0AA2">
            <w:r>
              <w:t>Reduced</w:t>
            </w:r>
          </w:p>
        </w:tc>
        <w:tc>
          <w:tcPr>
            <w:tcW w:w="1271" w:type="dxa"/>
          </w:tcPr>
          <w:p w:rsidR="004E492D" w:rsidRDefault="004E492D" w:rsidP="000E0AA2">
            <w:r>
              <w:t>Low</w:t>
            </w:r>
          </w:p>
        </w:tc>
        <w:tc>
          <w:tcPr>
            <w:tcW w:w="1468" w:type="dxa"/>
          </w:tcPr>
          <w:p w:rsidR="004E492D" w:rsidRDefault="004E492D" w:rsidP="000E0AA2"/>
        </w:tc>
      </w:tr>
      <w:tr w:rsidR="004E492D" w:rsidRPr="000E0AA2" w:rsidTr="000E0AA2">
        <w:tc>
          <w:tcPr>
            <w:tcW w:w="1827" w:type="dxa"/>
          </w:tcPr>
          <w:p w:rsidR="004E492D" w:rsidRDefault="004E492D" w:rsidP="000E0AA2"/>
        </w:tc>
        <w:tc>
          <w:tcPr>
            <w:tcW w:w="3272" w:type="dxa"/>
          </w:tcPr>
          <w:p w:rsidR="004E492D" w:rsidRDefault="004E492D" w:rsidP="000E0AA2">
            <w:r>
              <w:t>Cyber security</w:t>
            </w:r>
          </w:p>
        </w:tc>
        <w:tc>
          <w:tcPr>
            <w:tcW w:w="1404" w:type="dxa"/>
          </w:tcPr>
          <w:p w:rsidR="004E492D" w:rsidRDefault="004E492D" w:rsidP="000E0AA2">
            <w:r>
              <w:t>Reduced</w:t>
            </w:r>
          </w:p>
        </w:tc>
        <w:tc>
          <w:tcPr>
            <w:tcW w:w="1271" w:type="dxa"/>
          </w:tcPr>
          <w:p w:rsidR="004E492D" w:rsidRDefault="004E492D" w:rsidP="000E0AA2">
            <w:r>
              <w:t>Low</w:t>
            </w:r>
          </w:p>
        </w:tc>
        <w:tc>
          <w:tcPr>
            <w:tcW w:w="1468" w:type="dxa"/>
          </w:tcPr>
          <w:p w:rsidR="004E492D" w:rsidRDefault="004E492D" w:rsidP="000E0AA2"/>
        </w:tc>
      </w:tr>
      <w:tr w:rsidR="004E492D" w:rsidRPr="000E0AA2" w:rsidTr="000E0AA2">
        <w:tc>
          <w:tcPr>
            <w:tcW w:w="1827" w:type="dxa"/>
          </w:tcPr>
          <w:p w:rsidR="004E492D" w:rsidRDefault="004E492D" w:rsidP="000E0AA2"/>
        </w:tc>
        <w:tc>
          <w:tcPr>
            <w:tcW w:w="3272" w:type="dxa"/>
          </w:tcPr>
          <w:p w:rsidR="004E492D" w:rsidRDefault="004E492D" w:rsidP="000E0AA2">
            <w:r>
              <w:t>Backups</w:t>
            </w:r>
          </w:p>
        </w:tc>
        <w:tc>
          <w:tcPr>
            <w:tcW w:w="1404" w:type="dxa"/>
          </w:tcPr>
          <w:p w:rsidR="004E492D" w:rsidRDefault="004E492D" w:rsidP="000E0AA2">
            <w:r>
              <w:t>Reduced</w:t>
            </w:r>
          </w:p>
        </w:tc>
        <w:tc>
          <w:tcPr>
            <w:tcW w:w="1271" w:type="dxa"/>
          </w:tcPr>
          <w:p w:rsidR="004E492D" w:rsidRDefault="004E492D" w:rsidP="000E0AA2">
            <w:r>
              <w:t>Low</w:t>
            </w:r>
          </w:p>
        </w:tc>
        <w:tc>
          <w:tcPr>
            <w:tcW w:w="1468" w:type="dxa"/>
          </w:tcPr>
          <w:p w:rsidR="004E492D" w:rsidRDefault="004E492D" w:rsidP="000E0AA2"/>
        </w:tc>
      </w:tr>
      <w:tr w:rsidR="000E0AA2" w:rsidRPr="000E0AA2" w:rsidTr="000E0AA2">
        <w:tc>
          <w:tcPr>
            <w:tcW w:w="1827" w:type="dxa"/>
          </w:tcPr>
          <w:p w:rsidR="000E0AA2" w:rsidRDefault="000E0AA2" w:rsidP="000E0AA2"/>
        </w:tc>
        <w:tc>
          <w:tcPr>
            <w:tcW w:w="3272" w:type="dxa"/>
          </w:tcPr>
          <w:p w:rsidR="000E0AA2" w:rsidRDefault="000E0AA2" w:rsidP="000E0AA2"/>
        </w:tc>
        <w:tc>
          <w:tcPr>
            <w:tcW w:w="1404" w:type="dxa"/>
          </w:tcPr>
          <w:p w:rsidR="000E0AA2" w:rsidRDefault="000E0AA2" w:rsidP="000E0AA2"/>
        </w:tc>
        <w:tc>
          <w:tcPr>
            <w:tcW w:w="1271" w:type="dxa"/>
          </w:tcPr>
          <w:p w:rsidR="000E0AA2" w:rsidRDefault="000E0AA2" w:rsidP="000E0AA2"/>
        </w:tc>
        <w:tc>
          <w:tcPr>
            <w:tcW w:w="1468" w:type="dxa"/>
          </w:tcPr>
          <w:p w:rsidR="000E0AA2" w:rsidRDefault="000E0AA2" w:rsidP="000E0AA2"/>
        </w:tc>
      </w:tr>
      <w:tr w:rsidR="000E0AA2" w:rsidRPr="000E0AA2" w:rsidTr="000E0AA2">
        <w:tc>
          <w:tcPr>
            <w:tcW w:w="1827" w:type="dxa"/>
          </w:tcPr>
          <w:p w:rsidR="000E0AA2" w:rsidRDefault="000E0AA2" w:rsidP="000E0AA2"/>
        </w:tc>
        <w:tc>
          <w:tcPr>
            <w:tcW w:w="3272" w:type="dxa"/>
          </w:tcPr>
          <w:p w:rsidR="000E0AA2" w:rsidRDefault="000E0AA2" w:rsidP="000E0AA2"/>
        </w:tc>
        <w:tc>
          <w:tcPr>
            <w:tcW w:w="1404" w:type="dxa"/>
          </w:tcPr>
          <w:p w:rsidR="000E0AA2" w:rsidRDefault="000E0AA2" w:rsidP="000E0AA2"/>
        </w:tc>
        <w:tc>
          <w:tcPr>
            <w:tcW w:w="1271" w:type="dxa"/>
          </w:tcPr>
          <w:p w:rsidR="000E0AA2" w:rsidRDefault="000E0AA2" w:rsidP="000E0AA2"/>
        </w:tc>
        <w:tc>
          <w:tcPr>
            <w:tcW w:w="1468" w:type="dxa"/>
          </w:tcPr>
          <w:p w:rsidR="000E0AA2" w:rsidRDefault="000E0AA2" w:rsidP="000E0AA2"/>
        </w:tc>
      </w:tr>
      <w:tr w:rsidR="000E0AA2" w:rsidRPr="000E0AA2" w:rsidTr="000E0AA2">
        <w:tc>
          <w:tcPr>
            <w:tcW w:w="1827" w:type="dxa"/>
          </w:tcPr>
          <w:p w:rsidR="000E0AA2" w:rsidRDefault="000E0AA2" w:rsidP="000E0AA2"/>
        </w:tc>
        <w:tc>
          <w:tcPr>
            <w:tcW w:w="3272" w:type="dxa"/>
          </w:tcPr>
          <w:p w:rsidR="000E0AA2" w:rsidRDefault="000E0AA2" w:rsidP="000E0AA2"/>
        </w:tc>
        <w:tc>
          <w:tcPr>
            <w:tcW w:w="1404" w:type="dxa"/>
          </w:tcPr>
          <w:p w:rsidR="000E0AA2" w:rsidRDefault="000E0AA2" w:rsidP="000E0AA2"/>
        </w:tc>
        <w:tc>
          <w:tcPr>
            <w:tcW w:w="1271" w:type="dxa"/>
          </w:tcPr>
          <w:p w:rsidR="000E0AA2" w:rsidRDefault="000E0AA2" w:rsidP="000E0AA2"/>
        </w:tc>
        <w:tc>
          <w:tcPr>
            <w:tcW w:w="1468" w:type="dxa"/>
          </w:tcPr>
          <w:p w:rsidR="000E0AA2" w:rsidRDefault="000E0AA2" w:rsidP="000E0AA2"/>
        </w:tc>
      </w:tr>
      <w:tr w:rsidR="000E0AA2" w:rsidRPr="000E0AA2" w:rsidTr="000E0AA2">
        <w:tc>
          <w:tcPr>
            <w:tcW w:w="1827" w:type="dxa"/>
          </w:tcPr>
          <w:p w:rsidR="000E0AA2" w:rsidRDefault="000E0AA2" w:rsidP="000E0AA2"/>
        </w:tc>
        <w:tc>
          <w:tcPr>
            <w:tcW w:w="3272" w:type="dxa"/>
          </w:tcPr>
          <w:p w:rsidR="000E0AA2" w:rsidRDefault="000E0AA2" w:rsidP="000E0AA2"/>
        </w:tc>
        <w:tc>
          <w:tcPr>
            <w:tcW w:w="1404" w:type="dxa"/>
          </w:tcPr>
          <w:p w:rsidR="000E0AA2" w:rsidRDefault="000E0AA2" w:rsidP="000E0AA2"/>
        </w:tc>
        <w:tc>
          <w:tcPr>
            <w:tcW w:w="1271" w:type="dxa"/>
          </w:tcPr>
          <w:p w:rsidR="000E0AA2" w:rsidRDefault="000E0AA2" w:rsidP="000E0AA2"/>
        </w:tc>
        <w:tc>
          <w:tcPr>
            <w:tcW w:w="1468" w:type="dxa"/>
          </w:tcPr>
          <w:p w:rsidR="000E0AA2" w:rsidRDefault="000E0AA2" w:rsidP="000E0AA2"/>
        </w:tc>
      </w:tr>
      <w:tr w:rsidR="000E0AA2" w:rsidRPr="000E0AA2" w:rsidTr="000E0AA2">
        <w:tc>
          <w:tcPr>
            <w:tcW w:w="1827" w:type="dxa"/>
          </w:tcPr>
          <w:p w:rsidR="000E0AA2" w:rsidRDefault="000E0AA2" w:rsidP="000E0AA2"/>
        </w:tc>
        <w:tc>
          <w:tcPr>
            <w:tcW w:w="3272" w:type="dxa"/>
          </w:tcPr>
          <w:p w:rsidR="000E0AA2" w:rsidRDefault="000E0AA2" w:rsidP="000E0AA2"/>
        </w:tc>
        <w:tc>
          <w:tcPr>
            <w:tcW w:w="1404" w:type="dxa"/>
          </w:tcPr>
          <w:p w:rsidR="000E0AA2" w:rsidRDefault="000E0AA2" w:rsidP="000E0AA2"/>
        </w:tc>
        <w:tc>
          <w:tcPr>
            <w:tcW w:w="1271" w:type="dxa"/>
          </w:tcPr>
          <w:p w:rsidR="000E0AA2" w:rsidRDefault="000E0AA2" w:rsidP="000E0AA2"/>
        </w:tc>
        <w:tc>
          <w:tcPr>
            <w:tcW w:w="1468" w:type="dxa"/>
          </w:tcPr>
          <w:p w:rsidR="000E0AA2" w:rsidRDefault="000E0AA2" w:rsidP="000E0AA2"/>
        </w:tc>
      </w:tr>
      <w:tr w:rsidR="000E0AA2" w:rsidRPr="000E0AA2" w:rsidTr="000E0AA2">
        <w:tc>
          <w:tcPr>
            <w:tcW w:w="1827" w:type="dxa"/>
          </w:tcPr>
          <w:p w:rsidR="000E0AA2" w:rsidRDefault="000E0AA2" w:rsidP="000E0AA2"/>
        </w:tc>
        <w:tc>
          <w:tcPr>
            <w:tcW w:w="3272" w:type="dxa"/>
          </w:tcPr>
          <w:p w:rsidR="000E0AA2" w:rsidRDefault="000E0AA2" w:rsidP="000E0AA2"/>
        </w:tc>
        <w:tc>
          <w:tcPr>
            <w:tcW w:w="1404" w:type="dxa"/>
          </w:tcPr>
          <w:p w:rsidR="000E0AA2" w:rsidRDefault="000E0AA2" w:rsidP="000E0AA2"/>
        </w:tc>
        <w:tc>
          <w:tcPr>
            <w:tcW w:w="1271" w:type="dxa"/>
          </w:tcPr>
          <w:p w:rsidR="000E0AA2" w:rsidRDefault="000E0AA2" w:rsidP="000E0AA2"/>
        </w:tc>
        <w:tc>
          <w:tcPr>
            <w:tcW w:w="1468" w:type="dxa"/>
          </w:tcPr>
          <w:p w:rsidR="000E0AA2" w:rsidRDefault="000E0AA2" w:rsidP="000E0AA2"/>
        </w:tc>
      </w:tr>
      <w:tr w:rsidR="000E0AA2" w:rsidRPr="000E0AA2" w:rsidTr="000E0AA2">
        <w:tc>
          <w:tcPr>
            <w:tcW w:w="5099" w:type="dxa"/>
            <w:gridSpan w:val="2"/>
          </w:tcPr>
          <w:p w:rsidR="000E0AA2" w:rsidRDefault="000E0AA2" w:rsidP="000E0AA2">
            <w:r>
              <w:rPr>
                <w:b/>
                <w:color w:val="FF0000"/>
              </w:rPr>
              <w:t>Add additional rows as required.</w:t>
            </w:r>
          </w:p>
        </w:tc>
        <w:tc>
          <w:tcPr>
            <w:tcW w:w="1404" w:type="dxa"/>
          </w:tcPr>
          <w:p w:rsidR="000E0AA2" w:rsidRDefault="000E0AA2" w:rsidP="000E0AA2"/>
        </w:tc>
        <w:tc>
          <w:tcPr>
            <w:tcW w:w="1271" w:type="dxa"/>
          </w:tcPr>
          <w:p w:rsidR="000E0AA2" w:rsidRDefault="000E0AA2" w:rsidP="000E0AA2"/>
        </w:tc>
        <w:tc>
          <w:tcPr>
            <w:tcW w:w="1468" w:type="dxa"/>
          </w:tcPr>
          <w:p w:rsidR="000E0AA2" w:rsidRDefault="000E0AA2" w:rsidP="000E0AA2"/>
        </w:tc>
      </w:tr>
    </w:tbl>
    <w:p w:rsidR="001A3BFA" w:rsidRDefault="001A3BFA" w:rsidP="00BC53F4">
      <w:pPr>
        <w:spacing w:line="240" w:lineRule="auto"/>
      </w:pPr>
    </w:p>
    <w:p w:rsidR="00544E30" w:rsidRDefault="00544E30" w:rsidP="00BC53F4">
      <w:pPr>
        <w:spacing w:line="240" w:lineRule="auto"/>
      </w:pPr>
      <w:r>
        <w:t>Contact point</w:t>
      </w:r>
      <w:r w:rsidR="00BD7502">
        <w:t>s</w:t>
      </w:r>
      <w:r>
        <w:t xml:space="preserve"> for future privacy concerns</w:t>
      </w:r>
    </w:p>
    <w:p w:rsidR="00C21968" w:rsidRDefault="00C21968" w:rsidP="0065556A"/>
    <w:p w:rsidR="002414D3" w:rsidRDefault="002414D3" w:rsidP="0065556A">
      <w:r>
        <w:t>Kevin Rowan, Secretary to the Board and Data Protection Officer, MTW</w:t>
      </w:r>
    </w:p>
    <w:p w:rsidR="002F4F66" w:rsidRDefault="002F4F66" w:rsidP="00BC53F4">
      <w:pPr>
        <w:spacing w:line="240" w:lineRule="auto"/>
        <w:rPr>
          <w:rFonts w:cs="Arial"/>
          <w:szCs w:val="24"/>
        </w:rPr>
        <w:sectPr w:rsidR="002F4F66" w:rsidSect="00535BFF">
          <w:footerReference w:type="default" r:id="rId14"/>
          <w:pgSz w:w="11906" w:h="16838"/>
          <w:pgMar w:top="993" w:right="1440" w:bottom="1440" w:left="1440" w:header="708" w:footer="708" w:gutter="0"/>
          <w:cols w:space="708"/>
          <w:docGrid w:linePitch="360"/>
        </w:sectPr>
      </w:pPr>
    </w:p>
    <w:p w:rsidR="004C0694" w:rsidRPr="00BC53F4" w:rsidRDefault="004C0694" w:rsidP="009B4EF2">
      <w:pPr>
        <w:spacing w:line="240" w:lineRule="auto"/>
        <w:rPr>
          <w:rFonts w:cs="Arial"/>
          <w:szCs w:val="24"/>
        </w:rPr>
      </w:pPr>
    </w:p>
    <w:sectPr w:rsidR="004C0694" w:rsidRPr="00BC53F4" w:rsidSect="004C0694">
      <w:pgSz w:w="16838" w:h="11906" w:orient="landscape"/>
      <w:pgMar w:top="1440" w:right="993"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FCF" w:rsidRDefault="00982FCF" w:rsidP="003045E4">
      <w:pPr>
        <w:spacing w:after="0" w:line="240" w:lineRule="auto"/>
      </w:pPr>
      <w:r>
        <w:separator/>
      </w:r>
    </w:p>
  </w:endnote>
  <w:endnote w:type="continuationSeparator" w:id="0">
    <w:p w:rsidR="00982FCF" w:rsidRDefault="00982FCF" w:rsidP="00304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0368805"/>
      <w:docPartObj>
        <w:docPartGallery w:val="Page Numbers (Bottom of Page)"/>
        <w:docPartUnique/>
      </w:docPartObj>
    </w:sdtPr>
    <w:sdtEndPr>
      <w:rPr>
        <w:noProof/>
      </w:rPr>
    </w:sdtEndPr>
    <w:sdtContent>
      <w:p w:rsidR="00C94DDC" w:rsidRDefault="00C94DDC">
        <w:pPr>
          <w:pStyle w:val="Footer"/>
          <w:jc w:val="center"/>
        </w:pPr>
        <w:r>
          <w:fldChar w:fldCharType="begin"/>
        </w:r>
        <w:r>
          <w:instrText xml:space="preserve"> PAGE   \* MERGEFORMAT </w:instrText>
        </w:r>
        <w:r>
          <w:fldChar w:fldCharType="separate"/>
        </w:r>
        <w:r w:rsidR="009B4EF2">
          <w:rPr>
            <w:noProof/>
          </w:rPr>
          <w:t>8</w:t>
        </w:r>
        <w:r>
          <w:rPr>
            <w:noProof/>
          </w:rPr>
          <w:fldChar w:fldCharType="end"/>
        </w:r>
      </w:p>
    </w:sdtContent>
  </w:sdt>
  <w:p w:rsidR="00C94DDC" w:rsidRDefault="00C94D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FCF" w:rsidRDefault="00982FCF" w:rsidP="003045E4">
      <w:pPr>
        <w:spacing w:after="0" w:line="240" w:lineRule="auto"/>
      </w:pPr>
      <w:r>
        <w:separator/>
      </w:r>
    </w:p>
  </w:footnote>
  <w:footnote w:type="continuationSeparator" w:id="0">
    <w:p w:rsidR="00982FCF" w:rsidRDefault="00982FCF" w:rsidP="003045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C3675"/>
    <w:multiLevelType w:val="multilevel"/>
    <w:tmpl w:val="D1B47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7E6F8B"/>
    <w:multiLevelType w:val="hybridMultilevel"/>
    <w:tmpl w:val="348402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F7D2A8D"/>
    <w:multiLevelType w:val="hybridMultilevel"/>
    <w:tmpl w:val="18548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458065F"/>
    <w:multiLevelType w:val="hybridMultilevel"/>
    <w:tmpl w:val="1BC80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4F469F5"/>
    <w:multiLevelType w:val="hybridMultilevel"/>
    <w:tmpl w:val="66D45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E8321C"/>
    <w:multiLevelType w:val="hybridMultilevel"/>
    <w:tmpl w:val="D45452EE"/>
    <w:lvl w:ilvl="0" w:tplc="8340D51A">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B5C1F65"/>
    <w:multiLevelType w:val="hybridMultilevel"/>
    <w:tmpl w:val="1F789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C445ECC"/>
    <w:multiLevelType w:val="hybridMultilevel"/>
    <w:tmpl w:val="F2C29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8600301"/>
    <w:multiLevelType w:val="hybridMultilevel"/>
    <w:tmpl w:val="BFE69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DF23651"/>
    <w:multiLevelType w:val="hybridMultilevel"/>
    <w:tmpl w:val="21AADAA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nsid w:val="41801308"/>
    <w:multiLevelType w:val="hybridMultilevel"/>
    <w:tmpl w:val="A6545B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1F816C6"/>
    <w:multiLevelType w:val="hybridMultilevel"/>
    <w:tmpl w:val="CBA4F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2805FCE"/>
    <w:multiLevelType w:val="multilevel"/>
    <w:tmpl w:val="4F0CD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6F13F93"/>
    <w:multiLevelType w:val="hybridMultilevel"/>
    <w:tmpl w:val="295C1866"/>
    <w:lvl w:ilvl="0" w:tplc="08090001">
      <w:start w:val="1"/>
      <w:numFmt w:val="bullet"/>
      <w:lvlText w:val=""/>
      <w:lvlJc w:val="left"/>
      <w:pPr>
        <w:ind w:left="720" w:hanging="360"/>
      </w:pPr>
      <w:rPr>
        <w:rFonts w:ascii="Symbol" w:hAnsi="Symbol" w:hint="default"/>
      </w:rPr>
    </w:lvl>
    <w:lvl w:ilvl="1" w:tplc="6E2E3868">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28907C5"/>
    <w:multiLevelType w:val="multilevel"/>
    <w:tmpl w:val="66846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BB60F2B"/>
    <w:multiLevelType w:val="multilevel"/>
    <w:tmpl w:val="3D486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C1C6EE5"/>
    <w:multiLevelType w:val="hybridMultilevel"/>
    <w:tmpl w:val="11E85DD8"/>
    <w:lvl w:ilvl="0" w:tplc="77D0F608">
      <w:start w:val="1"/>
      <w:numFmt w:val="bullet"/>
      <w:lvlText w:val="•"/>
      <w:lvlJc w:val="left"/>
      <w:pPr>
        <w:tabs>
          <w:tab w:val="num" w:pos="720"/>
        </w:tabs>
        <w:ind w:left="720" w:hanging="360"/>
      </w:pPr>
      <w:rPr>
        <w:rFonts w:ascii="Arial" w:hAnsi="Arial" w:hint="default"/>
      </w:rPr>
    </w:lvl>
    <w:lvl w:ilvl="1" w:tplc="2080397A">
      <w:start w:val="2504"/>
      <w:numFmt w:val="bullet"/>
      <w:lvlText w:val="–"/>
      <w:lvlJc w:val="left"/>
      <w:pPr>
        <w:tabs>
          <w:tab w:val="num" w:pos="644"/>
        </w:tabs>
        <w:ind w:left="644" w:hanging="360"/>
      </w:pPr>
      <w:rPr>
        <w:rFonts w:ascii="Arial" w:hAnsi="Arial" w:hint="default"/>
      </w:rPr>
    </w:lvl>
    <w:lvl w:ilvl="2" w:tplc="5B787486" w:tentative="1">
      <w:start w:val="1"/>
      <w:numFmt w:val="bullet"/>
      <w:lvlText w:val="•"/>
      <w:lvlJc w:val="left"/>
      <w:pPr>
        <w:tabs>
          <w:tab w:val="num" w:pos="2160"/>
        </w:tabs>
        <w:ind w:left="2160" w:hanging="360"/>
      </w:pPr>
      <w:rPr>
        <w:rFonts w:ascii="Arial" w:hAnsi="Arial" w:hint="default"/>
      </w:rPr>
    </w:lvl>
    <w:lvl w:ilvl="3" w:tplc="C4B04AB8" w:tentative="1">
      <w:start w:val="1"/>
      <w:numFmt w:val="bullet"/>
      <w:lvlText w:val="•"/>
      <w:lvlJc w:val="left"/>
      <w:pPr>
        <w:tabs>
          <w:tab w:val="num" w:pos="2880"/>
        </w:tabs>
        <w:ind w:left="2880" w:hanging="360"/>
      </w:pPr>
      <w:rPr>
        <w:rFonts w:ascii="Arial" w:hAnsi="Arial" w:hint="default"/>
      </w:rPr>
    </w:lvl>
    <w:lvl w:ilvl="4" w:tplc="D506072A" w:tentative="1">
      <w:start w:val="1"/>
      <w:numFmt w:val="bullet"/>
      <w:lvlText w:val="•"/>
      <w:lvlJc w:val="left"/>
      <w:pPr>
        <w:tabs>
          <w:tab w:val="num" w:pos="3600"/>
        </w:tabs>
        <w:ind w:left="3600" w:hanging="360"/>
      </w:pPr>
      <w:rPr>
        <w:rFonts w:ascii="Arial" w:hAnsi="Arial" w:hint="default"/>
      </w:rPr>
    </w:lvl>
    <w:lvl w:ilvl="5" w:tplc="5358C0D2" w:tentative="1">
      <w:start w:val="1"/>
      <w:numFmt w:val="bullet"/>
      <w:lvlText w:val="•"/>
      <w:lvlJc w:val="left"/>
      <w:pPr>
        <w:tabs>
          <w:tab w:val="num" w:pos="4320"/>
        </w:tabs>
        <w:ind w:left="4320" w:hanging="360"/>
      </w:pPr>
      <w:rPr>
        <w:rFonts w:ascii="Arial" w:hAnsi="Arial" w:hint="default"/>
      </w:rPr>
    </w:lvl>
    <w:lvl w:ilvl="6" w:tplc="DC1A8644" w:tentative="1">
      <w:start w:val="1"/>
      <w:numFmt w:val="bullet"/>
      <w:lvlText w:val="•"/>
      <w:lvlJc w:val="left"/>
      <w:pPr>
        <w:tabs>
          <w:tab w:val="num" w:pos="5040"/>
        </w:tabs>
        <w:ind w:left="5040" w:hanging="360"/>
      </w:pPr>
      <w:rPr>
        <w:rFonts w:ascii="Arial" w:hAnsi="Arial" w:hint="default"/>
      </w:rPr>
    </w:lvl>
    <w:lvl w:ilvl="7" w:tplc="4D30A978" w:tentative="1">
      <w:start w:val="1"/>
      <w:numFmt w:val="bullet"/>
      <w:lvlText w:val="•"/>
      <w:lvlJc w:val="left"/>
      <w:pPr>
        <w:tabs>
          <w:tab w:val="num" w:pos="5760"/>
        </w:tabs>
        <w:ind w:left="5760" w:hanging="360"/>
      </w:pPr>
      <w:rPr>
        <w:rFonts w:ascii="Arial" w:hAnsi="Arial" w:hint="default"/>
      </w:rPr>
    </w:lvl>
    <w:lvl w:ilvl="8" w:tplc="F3D279D8" w:tentative="1">
      <w:start w:val="1"/>
      <w:numFmt w:val="bullet"/>
      <w:lvlText w:val="•"/>
      <w:lvlJc w:val="left"/>
      <w:pPr>
        <w:tabs>
          <w:tab w:val="num" w:pos="6480"/>
        </w:tabs>
        <w:ind w:left="6480" w:hanging="360"/>
      </w:pPr>
      <w:rPr>
        <w:rFonts w:ascii="Arial" w:hAnsi="Arial" w:hint="default"/>
      </w:rPr>
    </w:lvl>
  </w:abstractNum>
  <w:abstractNum w:abstractNumId="17">
    <w:nsid w:val="5F557A26"/>
    <w:multiLevelType w:val="hybridMultilevel"/>
    <w:tmpl w:val="A86A550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8">
    <w:nsid w:val="60695C79"/>
    <w:multiLevelType w:val="hybridMultilevel"/>
    <w:tmpl w:val="925C5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3300450"/>
    <w:multiLevelType w:val="multilevel"/>
    <w:tmpl w:val="44E8F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3E771BC"/>
    <w:multiLevelType w:val="hybridMultilevel"/>
    <w:tmpl w:val="FB160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4DC10D6"/>
    <w:multiLevelType w:val="hybridMultilevel"/>
    <w:tmpl w:val="0E38C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7D07714"/>
    <w:multiLevelType w:val="hybridMultilevel"/>
    <w:tmpl w:val="0F966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E5575B9"/>
    <w:multiLevelType w:val="multilevel"/>
    <w:tmpl w:val="F1DAB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5CE1FDC"/>
    <w:multiLevelType w:val="hybridMultilevel"/>
    <w:tmpl w:val="E36AE1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A642592"/>
    <w:multiLevelType w:val="hybridMultilevel"/>
    <w:tmpl w:val="EA1A7626"/>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E751ABE"/>
    <w:multiLevelType w:val="hybridMultilevel"/>
    <w:tmpl w:val="29CA8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7"/>
  </w:num>
  <w:num w:numId="3">
    <w:abstractNumId w:val="21"/>
  </w:num>
  <w:num w:numId="4">
    <w:abstractNumId w:val="22"/>
  </w:num>
  <w:num w:numId="5">
    <w:abstractNumId w:val="1"/>
  </w:num>
  <w:num w:numId="6">
    <w:abstractNumId w:val="5"/>
  </w:num>
  <w:num w:numId="7">
    <w:abstractNumId w:val="24"/>
  </w:num>
  <w:num w:numId="8">
    <w:abstractNumId w:val="20"/>
  </w:num>
  <w:num w:numId="9">
    <w:abstractNumId w:val="16"/>
  </w:num>
  <w:num w:numId="10">
    <w:abstractNumId w:val="13"/>
  </w:num>
  <w:num w:numId="11">
    <w:abstractNumId w:val="3"/>
  </w:num>
  <w:num w:numId="12">
    <w:abstractNumId w:val="10"/>
  </w:num>
  <w:num w:numId="13">
    <w:abstractNumId w:val="4"/>
  </w:num>
  <w:num w:numId="14">
    <w:abstractNumId w:val="6"/>
  </w:num>
  <w:num w:numId="15">
    <w:abstractNumId w:val="15"/>
  </w:num>
  <w:num w:numId="16">
    <w:abstractNumId w:val="0"/>
  </w:num>
  <w:num w:numId="17">
    <w:abstractNumId w:val="23"/>
  </w:num>
  <w:num w:numId="18">
    <w:abstractNumId w:val="12"/>
  </w:num>
  <w:num w:numId="19">
    <w:abstractNumId w:val="19"/>
  </w:num>
  <w:num w:numId="20">
    <w:abstractNumId w:val="14"/>
  </w:num>
  <w:num w:numId="21">
    <w:abstractNumId w:val="18"/>
  </w:num>
  <w:num w:numId="22">
    <w:abstractNumId w:val="26"/>
  </w:num>
  <w:num w:numId="23">
    <w:abstractNumId w:val="7"/>
  </w:num>
  <w:num w:numId="24">
    <w:abstractNumId w:val="8"/>
  </w:num>
  <w:num w:numId="25">
    <w:abstractNumId w:val="11"/>
  </w:num>
  <w:num w:numId="26">
    <w:abstractNumId w:val="9"/>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E30"/>
    <w:rsid w:val="000160E8"/>
    <w:rsid w:val="0002201B"/>
    <w:rsid w:val="00045D4B"/>
    <w:rsid w:val="00087903"/>
    <w:rsid w:val="000C1842"/>
    <w:rsid w:val="000E0AA2"/>
    <w:rsid w:val="00107FCC"/>
    <w:rsid w:val="0014582B"/>
    <w:rsid w:val="001A3BFA"/>
    <w:rsid w:val="001A53CF"/>
    <w:rsid w:val="001B10A7"/>
    <w:rsid w:val="001C46F6"/>
    <w:rsid w:val="001C582F"/>
    <w:rsid w:val="001E1B87"/>
    <w:rsid w:val="00200581"/>
    <w:rsid w:val="00203989"/>
    <w:rsid w:val="002208D2"/>
    <w:rsid w:val="002230AB"/>
    <w:rsid w:val="002414D3"/>
    <w:rsid w:val="0025013E"/>
    <w:rsid w:val="002541A1"/>
    <w:rsid w:val="0027762F"/>
    <w:rsid w:val="00282AED"/>
    <w:rsid w:val="00293534"/>
    <w:rsid w:val="002B181D"/>
    <w:rsid w:val="002B3949"/>
    <w:rsid w:val="002B4B47"/>
    <w:rsid w:val="002C7246"/>
    <w:rsid w:val="002D3416"/>
    <w:rsid w:val="002D4A30"/>
    <w:rsid w:val="002F4F66"/>
    <w:rsid w:val="003045E4"/>
    <w:rsid w:val="00306BBB"/>
    <w:rsid w:val="0032127B"/>
    <w:rsid w:val="00323004"/>
    <w:rsid w:val="00341648"/>
    <w:rsid w:val="00365989"/>
    <w:rsid w:val="003726A1"/>
    <w:rsid w:val="00377E02"/>
    <w:rsid w:val="003C30A4"/>
    <w:rsid w:val="003D0EAB"/>
    <w:rsid w:val="003E0FF5"/>
    <w:rsid w:val="003E18AA"/>
    <w:rsid w:val="003E292F"/>
    <w:rsid w:val="00400D2C"/>
    <w:rsid w:val="00440458"/>
    <w:rsid w:val="00452996"/>
    <w:rsid w:val="00461E78"/>
    <w:rsid w:val="0046359A"/>
    <w:rsid w:val="00466FD6"/>
    <w:rsid w:val="00492128"/>
    <w:rsid w:val="004B0C3C"/>
    <w:rsid w:val="004C0694"/>
    <w:rsid w:val="004E0226"/>
    <w:rsid w:val="004E492D"/>
    <w:rsid w:val="00535BFF"/>
    <w:rsid w:val="00544E30"/>
    <w:rsid w:val="005458E6"/>
    <w:rsid w:val="0056030C"/>
    <w:rsid w:val="005A259B"/>
    <w:rsid w:val="005E08E2"/>
    <w:rsid w:val="005F2C5B"/>
    <w:rsid w:val="00624B42"/>
    <w:rsid w:val="00641825"/>
    <w:rsid w:val="00646FAE"/>
    <w:rsid w:val="006508E5"/>
    <w:rsid w:val="0065556A"/>
    <w:rsid w:val="006600E8"/>
    <w:rsid w:val="00671687"/>
    <w:rsid w:val="0069290B"/>
    <w:rsid w:val="006B267D"/>
    <w:rsid w:val="007006FE"/>
    <w:rsid w:val="00710E9D"/>
    <w:rsid w:val="00711706"/>
    <w:rsid w:val="007473ED"/>
    <w:rsid w:val="007510C8"/>
    <w:rsid w:val="007707B9"/>
    <w:rsid w:val="00791200"/>
    <w:rsid w:val="00791846"/>
    <w:rsid w:val="007950A0"/>
    <w:rsid w:val="00795CE6"/>
    <w:rsid w:val="007A70F4"/>
    <w:rsid w:val="007B6D28"/>
    <w:rsid w:val="007C47CF"/>
    <w:rsid w:val="007E7A8F"/>
    <w:rsid w:val="00821D73"/>
    <w:rsid w:val="00834356"/>
    <w:rsid w:val="008356CC"/>
    <w:rsid w:val="00837565"/>
    <w:rsid w:val="00837E2B"/>
    <w:rsid w:val="00881335"/>
    <w:rsid w:val="0089435B"/>
    <w:rsid w:val="009450C3"/>
    <w:rsid w:val="00947373"/>
    <w:rsid w:val="009502D6"/>
    <w:rsid w:val="00972CFE"/>
    <w:rsid w:val="00976CCF"/>
    <w:rsid w:val="00982FCF"/>
    <w:rsid w:val="009B4EF2"/>
    <w:rsid w:val="009F5747"/>
    <w:rsid w:val="00A27DD4"/>
    <w:rsid w:val="00A5198C"/>
    <w:rsid w:val="00A5420C"/>
    <w:rsid w:val="00A6793F"/>
    <w:rsid w:val="00A8044D"/>
    <w:rsid w:val="00AA2E95"/>
    <w:rsid w:val="00AD4E84"/>
    <w:rsid w:val="00AE1364"/>
    <w:rsid w:val="00AF0117"/>
    <w:rsid w:val="00B26157"/>
    <w:rsid w:val="00B36437"/>
    <w:rsid w:val="00B51E1D"/>
    <w:rsid w:val="00B827C5"/>
    <w:rsid w:val="00BC31E0"/>
    <w:rsid w:val="00BC53F4"/>
    <w:rsid w:val="00BD7502"/>
    <w:rsid w:val="00BE153F"/>
    <w:rsid w:val="00BF70B4"/>
    <w:rsid w:val="00C066A3"/>
    <w:rsid w:val="00C21968"/>
    <w:rsid w:val="00C34BE3"/>
    <w:rsid w:val="00C45F26"/>
    <w:rsid w:val="00C52F87"/>
    <w:rsid w:val="00C61CBC"/>
    <w:rsid w:val="00C64BEF"/>
    <w:rsid w:val="00C94DDC"/>
    <w:rsid w:val="00D14C12"/>
    <w:rsid w:val="00D2191E"/>
    <w:rsid w:val="00D24BE3"/>
    <w:rsid w:val="00D26A5C"/>
    <w:rsid w:val="00D45F25"/>
    <w:rsid w:val="00D626C5"/>
    <w:rsid w:val="00D639A8"/>
    <w:rsid w:val="00D63ACB"/>
    <w:rsid w:val="00D7471A"/>
    <w:rsid w:val="00D87AF6"/>
    <w:rsid w:val="00D9680A"/>
    <w:rsid w:val="00DA3FE8"/>
    <w:rsid w:val="00DB2DD6"/>
    <w:rsid w:val="00DD2039"/>
    <w:rsid w:val="00DD266B"/>
    <w:rsid w:val="00DE2F89"/>
    <w:rsid w:val="00DE465F"/>
    <w:rsid w:val="00E000B1"/>
    <w:rsid w:val="00E654D5"/>
    <w:rsid w:val="00E97224"/>
    <w:rsid w:val="00EA1559"/>
    <w:rsid w:val="00EA4870"/>
    <w:rsid w:val="00F07A5F"/>
    <w:rsid w:val="00F13056"/>
    <w:rsid w:val="00F20D3A"/>
    <w:rsid w:val="00F405DD"/>
    <w:rsid w:val="00F4116D"/>
    <w:rsid w:val="00F44293"/>
    <w:rsid w:val="00F65256"/>
    <w:rsid w:val="00F84083"/>
    <w:rsid w:val="00FC0F88"/>
    <w:rsid w:val="00FD75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825"/>
    <w:rPr>
      <w:rFonts w:ascii="Arial" w:hAnsi="Arial"/>
      <w:sz w:val="24"/>
    </w:rPr>
  </w:style>
  <w:style w:type="paragraph" w:styleId="Heading1">
    <w:name w:val="heading 1"/>
    <w:basedOn w:val="Normal"/>
    <w:next w:val="Normal"/>
    <w:link w:val="Heading1Char"/>
    <w:uiPriority w:val="9"/>
    <w:qFormat/>
    <w:rsid w:val="00641825"/>
    <w:pPr>
      <w:keepNext/>
      <w:keepLines/>
      <w:spacing w:before="24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41825"/>
    <w:pPr>
      <w:keepNext/>
      <w:keepLines/>
      <w:spacing w:before="200" w:after="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1825"/>
    <w:rPr>
      <w:rFonts w:ascii="Arial" w:eastAsiaTheme="majorEastAsia" w:hAnsi="Arial"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41825"/>
    <w:rPr>
      <w:rFonts w:ascii="Arial" w:eastAsiaTheme="majorEastAsia" w:hAnsi="Arial" w:cstheme="majorBidi"/>
      <w:b/>
      <w:bCs/>
      <w:color w:val="4F81BD" w:themeColor="accent1"/>
      <w:sz w:val="26"/>
      <w:szCs w:val="26"/>
    </w:rPr>
  </w:style>
  <w:style w:type="table" w:styleId="TableGrid">
    <w:name w:val="Table Grid"/>
    <w:basedOn w:val="TableNormal"/>
    <w:uiPriority w:val="59"/>
    <w:rsid w:val="00535B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66A3"/>
    <w:pPr>
      <w:ind w:left="720"/>
      <w:contextualSpacing/>
    </w:pPr>
  </w:style>
  <w:style w:type="character" w:styleId="Hyperlink">
    <w:name w:val="Hyperlink"/>
    <w:basedOn w:val="DefaultParagraphFont"/>
    <w:uiPriority w:val="99"/>
    <w:unhideWhenUsed/>
    <w:rsid w:val="00D87AF6"/>
    <w:rPr>
      <w:color w:val="0000FF" w:themeColor="hyperlink"/>
      <w:u w:val="single"/>
    </w:rPr>
  </w:style>
  <w:style w:type="paragraph" w:styleId="Header">
    <w:name w:val="header"/>
    <w:basedOn w:val="Normal"/>
    <w:link w:val="HeaderChar"/>
    <w:uiPriority w:val="99"/>
    <w:unhideWhenUsed/>
    <w:rsid w:val="003045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45E4"/>
    <w:rPr>
      <w:rFonts w:ascii="Arial" w:hAnsi="Arial"/>
      <w:sz w:val="24"/>
    </w:rPr>
  </w:style>
  <w:style w:type="paragraph" w:styleId="Footer">
    <w:name w:val="footer"/>
    <w:basedOn w:val="Normal"/>
    <w:link w:val="FooterChar"/>
    <w:uiPriority w:val="99"/>
    <w:unhideWhenUsed/>
    <w:rsid w:val="003045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45E4"/>
    <w:rPr>
      <w:rFonts w:ascii="Arial" w:hAnsi="Arial"/>
      <w:sz w:val="24"/>
    </w:rPr>
  </w:style>
  <w:style w:type="paragraph" w:styleId="BalloonText">
    <w:name w:val="Balloon Text"/>
    <w:basedOn w:val="Normal"/>
    <w:link w:val="BalloonTextChar"/>
    <w:uiPriority w:val="99"/>
    <w:semiHidden/>
    <w:unhideWhenUsed/>
    <w:rsid w:val="004C06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694"/>
    <w:rPr>
      <w:rFonts w:ascii="Tahoma" w:hAnsi="Tahoma" w:cs="Tahoma"/>
      <w:sz w:val="16"/>
      <w:szCs w:val="16"/>
    </w:rPr>
  </w:style>
  <w:style w:type="paragraph" w:styleId="NoSpacing">
    <w:name w:val="No Spacing"/>
    <w:uiPriority w:val="1"/>
    <w:qFormat/>
    <w:rsid w:val="00DD2039"/>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D9680A"/>
    <w:rPr>
      <w:sz w:val="16"/>
      <w:szCs w:val="16"/>
    </w:rPr>
  </w:style>
  <w:style w:type="paragraph" w:styleId="CommentText">
    <w:name w:val="annotation text"/>
    <w:basedOn w:val="Normal"/>
    <w:link w:val="CommentTextChar"/>
    <w:uiPriority w:val="99"/>
    <w:semiHidden/>
    <w:unhideWhenUsed/>
    <w:rsid w:val="00D9680A"/>
    <w:pPr>
      <w:spacing w:line="240" w:lineRule="auto"/>
    </w:pPr>
    <w:rPr>
      <w:sz w:val="20"/>
      <w:szCs w:val="20"/>
    </w:rPr>
  </w:style>
  <w:style w:type="character" w:customStyle="1" w:styleId="CommentTextChar">
    <w:name w:val="Comment Text Char"/>
    <w:basedOn w:val="DefaultParagraphFont"/>
    <w:link w:val="CommentText"/>
    <w:uiPriority w:val="99"/>
    <w:semiHidden/>
    <w:rsid w:val="00D9680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9680A"/>
    <w:rPr>
      <w:b/>
      <w:bCs/>
    </w:rPr>
  </w:style>
  <w:style w:type="character" w:customStyle="1" w:styleId="CommentSubjectChar">
    <w:name w:val="Comment Subject Char"/>
    <w:basedOn w:val="CommentTextChar"/>
    <w:link w:val="CommentSubject"/>
    <w:uiPriority w:val="99"/>
    <w:semiHidden/>
    <w:rsid w:val="00D9680A"/>
    <w:rPr>
      <w:rFonts w:ascii="Arial" w:hAnsi="Arial"/>
      <w:b/>
      <w:bCs/>
      <w:sz w:val="20"/>
      <w:szCs w:val="20"/>
    </w:rPr>
  </w:style>
  <w:style w:type="paragraph" w:styleId="Revision">
    <w:name w:val="Revision"/>
    <w:hidden/>
    <w:uiPriority w:val="99"/>
    <w:semiHidden/>
    <w:rsid w:val="00D9680A"/>
    <w:pPr>
      <w:spacing w:after="0" w:line="240" w:lineRule="auto"/>
    </w:pP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825"/>
    <w:rPr>
      <w:rFonts w:ascii="Arial" w:hAnsi="Arial"/>
      <w:sz w:val="24"/>
    </w:rPr>
  </w:style>
  <w:style w:type="paragraph" w:styleId="Heading1">
    <w:name w:val="heading 1"/>
    <w:basedOn w:val="Normal"/>
    <w:next w:val="Normal"/>
    <w:link w:val="Heading1Char"/>
    <w:uiPriority w:val="9"/>
    <w:qFormat/>
    <w:rsid w:val="00641825"/>
    <w:pPr>
      <w:keepNext/>
      <w:keepLines/>
      <w:spacing w:before="24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41825"/>
    <w:pPr>
      <w:keepNext/>
      <w:keepLines/>
      <w:spacing w:before="200" w:after="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1825"/>
    <w:rPr>
      <w:rFonts w:ascii="Arial" w:eastAsiaTheme="majorEastAsia" w:hAnsi="Arial"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41825"/>
    <w:rPr>
      <w:rFonts w:ascii="Arial" w:eastAsiaTheme="majorEastAsia" w:hAnsi="Arial" w:cstheme="majorBidi"/>
      <w:b/>
      <w:bCs/>
      <w:color w:val="4F81BD" w:themeColor="accent1"/>
      <w:sz w:val="26"/>
      <w:szCs w:val="26"/>
    </w:rPr>
  </w:style>
  <w:style w:type="table" w:styleId="TableGrid">
    <w:name w:val="Table Grid"/>
    <w:basedOn w:val="TableNormal"/>
    <w:uiPriority w:val="59"/>
    <w:rsid w:val="00535B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66A3"/>
    <w:pPr>
      <w:ind w:left="720"/>
      <w:contextualSpacing/>
    </w:pPr>
  </w:style>
  <w:style w:type="character" w:styleId="Hyperlink">
    <w:name w:val="Hyperlink"/>
    <w:basedOn w:val="DefaultParagraphFont"/>
    <w:uiPriority w:val="99"/>
    <w:unhideWhenUsed/>
    <w:rsid w:val="00D87AF6"/>
    <w:rPr>
      <w:color w:val="0000FF" w:themeColor="hyperlink"/>
      <w:u w:val="single"/>
    </w:rPr>
  </w:style>
  <w:style w:type="paragraph" w:styleId="Header">
    <w:name w:val="header"/>
    <w:basedOn w:val="Normal"/>
    <w:link w:val="HeaderChar"/>
    <w:uiPriority w:val="99"/>
    <w:unhideWhenUsed/>
    <w:rsid w:val="003045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45E4"/>
    <w:rPr>
      <w:rFonts w:ascii="Arial" w:hAnsi="Arial"/>
      <w:sz w:val="24"/>
    </w:rPr>
  </w:style>
  <w:style w:type="paragraph" w:styleId="Footer">
    <w:name w:val="footer"/>
    <w:basedOn w:val="Normal"/>
    <w:link w:val="FooterChar"/>
    <w:uiPriority w:val="99"/>
    <w:unhideWhenUsed/>
    <w:rsid w:val="003045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45E4"/>
    <w:rPr>
      <w:rFonts w:ascii="Arial" w:hAnsi="Arial"/>
      <w:sz w:val="24"/>
    </w:rPr>
  </w:style>
  <w:style w:type="paragraph" w:styleId="BalloonText">
    <w:name w:val="Balloon Text"/>
    <w:basedOn w:val="Normal"/>
    <w:link w:val="BalloonTextChar"/>
    <w:uiPriority w:val="99"/>
    <w:semiHidden/>
    <w:unhideWhenUsed/>
    <w:rsid w:val="004C06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694"/>
    <w:rPr>
      <w:rFonts w:ascii="Tahoma" w:hAnsi="Tahoma" w:cs="Tahoma"/>
      <w:sz w:val="16"/>
      <w:szCs w:val="16"/>
    </w:rPr>
  </w:style>
  <w:style w:type="paragraph" w:styleId="NoSpacing">
    <w:name w:val="No Spacing"/>
    <w:uiPriority w:val="1"/>
    <w:qFormat/>
    <w:rsid w:val="00DD2039"/>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D9680A"/>
    <w:rPr>
      <w:sz w:val="16"/>
      <w:szCs w:val="16"/>
    </w:rPr>
  </w:style>
  <w:style w:type="paragraph" w:styleId="CommentText">
    <w:name w:val="annotation text"/>
    <w:basedOn w:val="Normal"/>
    <w:link w:val="CommentTextChar"/>
    <w:uiPriority w:val="99"/>
    <w:semiHidden/>
    <w:unhideWhenUsed/>
    <w:rsid w:val="00D9680A"/>
    <w:pPr>
      <w:spacing w:line="240" w:lineRule="auto"/>
    </w:pPr>
    <w:rPr>
      <w:sz w:val="20"/>
      <w:szCs w:val="20"/>
    </w:rPr>
  </w:style>
  <w:style w:type="character" w:customStyle="1" w:styleId="CommentTextChar">
    <w:name w:val="Comment Text Char"/>
    <w:basedOn w:val="DefaultParagraphFont"/>
    <w:link w:val="CommentText"/>
    <w:uiPriority w:val="99"/>
    <w:semiHidden/>
    <w:rsid w:val="00D9680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9680A"/>
    <w:rPr>
      <w:b/>
      <w:bCs/>
    </w:rPr>
  </w:style>
  <w:style w:type="character" w:customStyle="1" w:styleId="CommentSubjectChar">
    <w:name w:val="Comment Subject Char"/>
    <w:basedOn w:val="CommentTextChar"/>
    <w:link w:val="CommentSubject"/>
    <w:uiPriority w:val="99"/>
    <w:semiHidden/>
    <w:rsid w:val="00D9680A"/>
    <w:rPr>
      <w:rFonts w:ascii="Arial" w:hAnsi="Arial"/>
      <w:b/>
      <w:bCs/>
      <w:sz w:val="20"/>
      <w:szCs w:val="20"/>
    </w:rPr>
  </w:style>
  <w:style w:type="paragraph" w:styleId="Revision">
    <w:name w:val="Revision"/>
    <w:hidden/>
    <w:uiPriority w:val="99"/>
    <w:semiHidden/>
    <w:rsid w:val="00D9680A"/>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807463">
      <w:bodyDiv w:val="1"/>
      <w:marLeft w:val="0"/>
      <w:marRight w:val="0"/>
      <w:marTop w:val="0"/>
      <w:marBottom w:val="0"/>
      <w:divBdr>
        <w:top w:val="none" w:sz="0" w:space="0" w:color="auto"/>
        <w:left w:val="none" w:sz="0" w:space="0" w:color="auto"/>
        <w:bottom w:val="none" w:sz="0" w:space="0" w:color="auto"/>
        <w:right w:val="none" w:sz="0" w:space="0" w:color="auto"/>
      </w:divBdr>
      <w:divsChild>
        <w:div w:id="30611556">
          <w:marLeft w:val="0"/>
          <w:marRight w:val="0"/>
          <w:marTop w:val="0"/>
          <w:marBottom w:val="0"/>
          <w:divBdr>
            <w:top w:val="none" w:sz="0" w:space="0" w:color="auto"/>
            <w:left w:val="none" w:sz="0" w:space="0" w:color="auto"/>
            <w:bottom w:val="none" w:sz="0" w:space="0" w:color="auto"/>
            <w:right w:val="none" w:sz="0" w:space="0" w:color="auto"/>
          </w:divBdr>
          <w:divsChild>
            <w:div w:id="1097599464">
              <w:marLeft w:val="0"/>
              <w:marRight w:val="0"/>
              <w:marTop w:val="0"/>
              <w:marBottom w:val="0"/>
              <w:divBdr>
                <w:top w:val="none" w:sz="0" w:space="0" w:color="auto"/>
                <w:left w:val="none" w:sz="0" w:space="0" w:color="auto"/>
                <w:bottom w:val="none" w:sz="0" w:space="0" w:color="auto"/>
                <w:right w:val="single" w:sz="6" w:space="8" w:color="FFFFFF"/>
              </w:divBdr>
              <w:divsChild>
                <w:div w:id="171383501">
                  <w:marLeft w:val="0"/>
                  <w:marRight w:val="0"/>
                  <w:marTop w:val="0"/>
                  <w:marBottom w:val="0"/>
                  <w:divBdr>
                    <w:top w:val="none" w:sz="0" w:space="0" w:color="auto"/>
                    <w:left w:val="none" w:sz="0" w:space="0" w:color="auto"/>
                    <w:bottom w:val="none" w:sz="0" w:space="0" w:color="auto"/>
                    <w:right w:val="none" w:sz="0" w:space="0" w:color="auto"/>
                  </w:divBdr>
                  <w:divsChild>
                    <w:div w:id="1637175656">
                      <w:marLeft w:val="0"/>
                      <w:marRight w:val="0"/>
                      <w:marTop w:val="0"/>
                      <w:marBottom w:val="0"/>
                      <w:divBdr>
                        <w:top w:val="none" w:sz="0" w:space="0" w:color="auto"/>
                        <w:left w:val="none" w:sz="0" w:space="0" w:color="auto"/>
                        <w:bottom w:val="none" w:sz="0" w:space="0" w:color="auto"/>
                        <w:right w:val="none" w:sz="0" w:space="0" w:color="auto"/>
                      </w:divBdr>
                      <w:divsChild>
                        <w:div w:id="1302613435">
                          <w:marLeft w:val="0"/>
                          <w:marRight w:val="0"/>
                          <w:marTop w:val="0"/>
                          <w:marBottom w:val="0"/>
                          <w:divBdr>
                            <w:top w:val="none" w:sz="0" w:space="0" w:color="auto"/>
                            <w:left w:val="none" w:sz="0" w:space="0" w:color="auto"/>
                            <w:bottom w:val="none" w:sz="0" w:space="0" w:color="auto"/>
                            <w:right w:val="single" w:sz="48" w:space="0" w:color="F7F7F7"/>
                          </w:divBdr>
                          <w:divsChild>
                            <w:div w:id="1973363214">
                              <w:marLeft w:val="0"/>
                              <w:marRight w:val="0"/>
                              <w:marTop w:val="0"/>
                              <w:marBottom w:val="0"/>
                              <w:divBdr>
                                <w:top w:val="none" w:sz="0" w:space="0" w:color="auto"/>
                                <w:left w:val="none" w:sz="0" w:space="0" w:color="auto"/>
                                <w:bottom w:val="none" w:sz="0" w:space="0" w:color="auto"/>
                                <w:right w:val="none" w:sz="0" w:space="0" w:color="auto"/>
                              </w:divBdr>
                              <w:divsChild>
                                <w:div w:id="535850004">
                                  <w:marLeft w:val="0"/>
                                  <w:marRight w:val="0"/>
                                  <w:marTop w:val="0"/>
                                  <w:marBottom w:val="0"/>
                                  <w:divBdr>
                                    <w:top w:val="none" w:sz="0" w:space="0" w:color="auto"/>
                                    <w:left w:val="none" w:sz="0" w:space="0" w:color="auto"/>
                                    <w:bottom w:val="none" w:sz="0" w:space="0" w:color="auto"/>
                                    <w:right w:val="none" w:sz="0" w:space="0" w:color="auto"/>
                                  </w:divBdr>
                                  <w:divsChild>
                                    <w:div w:id="285887708">
                                      <w:marLeft w:val="0"/>
                                      <w:marRight w:val="0"/>
                                      <w:marTop w:val="0"/>
                                      <w:marBottom w:val="0"/>
                                      <w:divBdr>
                                        <w:top w:val="none" w:sz="0" w:space="0" w:color="auto"/>
                                        <w:left w:val="none" w:sz="0" w:space="0" w:color="auto"/>
                                        <w:bottom w:val="none" w:sz="0" w:space="0" w:color="auto"/>
                                        <w:right w:val="none" w:sz="0" w:space="0" w:color="auto"/>
                                      </w:divBdr>
                                      <w:divsChild>
                                        <w:div w:id="588391083">
                                          <w:marLeft w:val="0"/>
                                          <w:marRight w:val="0"/>
                                          <w:marTop w:val="0"/>
                                          <w:marBottom w:val="0"/>
                                          <w:divBdr>
                                            <w:top w:val="none" w:sz="0" w:space="0" w:color="auto"/>
                                            <w:left w:val="none" w:sz="0" w:space="0" w:color="auto"/>
                                            <w:bottom w:val="none" w:sz="0" w:space="0" w:color="auto"/>
                                            <w:right w:val="none" w:sz="0" w:space="0" w:color="auto"/>
                                          </w:divBdr>
                                          <w:divsChild>
                                            <w:div w:id="378826924">
                                              <w:marLeft w:val="0"/>
                                              <w:marRight w:val="0"/>
                                              <w:marTop w:val="0"/>
                                              <w:marBottom w:val="0"/>
                                              <w:divBdr>
                                                <w:top w:val="dashed" w:sz="6" w:space="8" w:color="CCCCCC"/>
                                                <w:left w:val="none" w:sz="0" w:space="0" w:color="auto"/>
                                                <w:bottom w:val="none" w:sz="0" w:space="0" w:color="auto"/>
                                                <w:right w:val="none" w:sz="0" w:space="0" w:color="auto"/>
                                              </w:divBdr>
                                              <w:divsChild>
                                                <w:div w:id="152182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package" Target="embeddings/Microsoft_Word_Document1.docx"/><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digital.nhs.uk/services/nhs-e-referral-service/the-future-of-the-nhs-e-referral-service/referral-assessment-servic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DFFA9303</Template>
  <TotalTime>0</TotalTime>
  <Pages>16</Pages>
  <Words>3376</Words>
  <Characters>19246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22577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Clint - SC PH</dc:creator>
  <cp:lastModifiedBy>GSpinks</cp:lastModifiedBy>
  <cp:revision>2</cp:revision>
  <cp:lastPrinted>2018-07-06T06:44:00Z</cp:lastPrinted>
  <dcterms:created xsi:type="dcterms:W3CDTF">2018-12-19T09:52:00Z</dcterms:created>
  <dcterms:modified xsi:type="dcterms:W3CDTF">2018-12-19T09:52:00Z</dcterms:modified>
</cp:coreProperties>
</file>